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9072"/>
      </w:tblGrid>
      <w:tr w:rsidR="00BB224F" w:rsidTr="00BB224F">
        <w:trPr>
          <w:tblCellSpacing w:w="0" w:type="dxa"/>
        </w:trPr>
        <w:tc>
          <w:tcPr>
            <w:tcW w:w="0" w:type="auto"/>
            <w:vAlign w:val="center"/>
          </w:tcPr>
          <w:tbl>
            <w:tblPr>
              <w:tblW w:w="5000" w:type="pct"/>
              <w:jc w:val="center"/>
              <w:tblCellSpacing w:w="0" w:type="dxa"/>
              <w:shd w:val="clear" w:color="auto" w:fill="E1E1E1"/>
              <w:tblCellMar>
                <w:left w:w="0" w:type="dxa"/>
                <w:right w:w="0" w:type="dxa"/>
              </w:tblCellMar>
              <w:tblLook w:val="04A0" w:firstRow="1" w:lastRow="0" w:firstColumn="1" w:lastColumn="0" w:noHBand="0" w:noVBand="1"/>
            </w:tblPr>
            <w:tblGrid>
              <w:gridCol w:w="261"/>
              <w:gridCol w:w="8550"/>
              <w:gridCol w:w="261"/>
            </w:tblGrid>
            <w:tr w:rsidR="00BB224F">
              <w:trPr>
                <w:trHeight w:val="1500"/>
                <w:tblCellSpacing w:w="0" w:type="dxa"/>
                <w:jc w:val="center"/>
              </w:trPr>
              <w:tc>
                <w:tcPr>
                  <w:tcW w:w="0" w:type="auto"/>
                  <w:shd w:val="clear" w:color="auto" w:fill="E1E1E1"/>
                  <w:vAlign w:val="center"/>
                  <w:hideMark/>
                </w:tcPr>
                <w:p w:rsidR="00BB224F" w:rsidRDefault="00BB224F">
                  <w:pPr>
                    <w:rPr>
                      <w:rFonts w:ascii="Times New Roman" w:hAnsi="Times New Roman" w:cs="Times New Roman"/>
                    </w:rPr>
                  </w:pPr>
                </w:p>
              </w:tc>
              <w:tc>
                <w:tcPr>
                  <w:tcW w:w="8550" w:type="dxa"/>
                  <w:shd w:val="clear" w:color="auto" w:fill="0C4DA1"/>
                  <w:vAlign w:val="center"/>
                  <w:hideMark/>
                </w:tcPr>
                <w:tbl>
                  <w:tblPr>
                    <w:tblW w:w="0" w:type="auto"/>
                    <w:tblCellSpacing w:w="0" w:type="dxa"/>
                    <w:tblCellMar>
                      <w:left w:w="0" w:type="dxa"/>
                      <w:right w:w="0" w:type="dxa"/>
                    </w:tblCellMar>
                    <w:tblLook w:val="04A0" w:firstRow="1" w:lastRow="0" w:firstColumn="1" w:lastColumn="0" w:noHBand="0" w:noVBand="1"/>
                  </w:tblPr>
                  <w:tblGrid>
                    <w:gridCol w:w="1816"/>
                    <w:gridCol w:w="2280"/>
                    <w:gridCol w:w="4454"/>
                  </w:tblGrid>
                  <w:tr w:rsidR="00BB224F">
                    <w:trPr>
                      <w:tblCellSpacing w:w="0" w:type="dxa"/>
                    </w:trPr>
                    <w:tc>
                      <w:tcPr>
                        <w:tcW w:w="1500" w:type="dxa"/>
                        <w:tcMar>
                          <w:top w:w="0" w:type="dxa"/>
                          <w:left w:w="450" w:type="dxa"/>
                          <w:bottom w:w="0" w:type="dxa"/>
                          <w:right w:w="0" w:type="dxa"/>
                        </w:tcMar>
                        <w:vAlign w:val="center"/>
                        <w:hideMark/>
                      </w:tcPr>
                      <w:p w:rsidR="00BB224F" w:rsidRDefault="00BB224F">
                        <w:pPr>
                          <w:rPr>
                            <w:rFonts w:ascii="Arial" w:hAnsi="Arial" w:cs="Arial"/>
                            <w:b/>
                            <w:bCs/>
                            <w:color w:val="FFFFFF"/>
                            <w:sz w:val="27"/>
                            <w:szCs w:val="27"/>
                            <w:lang w:eastAsia="en-US"/>
                          </w:rPr>
                        </w:pPr>
                        <w:r>
                          <w:rPr>
                            <w:rFonts w:ascii="Arial" w:hAnsi="Arial" w:cs="Arial"/>
                            <w:b/>
                            <w:bCs/>
                            <w:color w:val="FFFFFF"/>
                            <w:sz w:val="27"/>
                            <w:szCs w:val="27"/>
                            <w:lang w:eastAsia="en-US"/>
                          </w:rPr>
                          <w:t>Newsletter</w:t>
                        </w:r>
                      </w:p>
                    </w:tc>
                    <w:tc>
                      <w:tcPr>
                        <w:tcW w:w="1500" w:type="dxa"/>
                        <w:tcMar>
                          <w:top w:w="0" w:type="dxa"/>
                          <w:left w:w="825" w:type="dxa"/>
                          <w:bottom w:w="0" w:type="dxa"/>
                          <w:right w:w="225" w:type="dxa"/>
                        </w:tcMar>
                        <w:vAlign w:val="center"/>
                        <w:hideMark/>
                      </w:tcPr>
                      <w:p w:rsidR="00BB224F" w:rsidRDefault="00BB224F">
                        <w:pPr>
                          <w:rPr>
                            <w:lang w:eastAsia="en-US"/>
                          </w:rPr>
                        </w:pPr>
                        <w:r>
                          <w:rPr>
                            <w:noProof/>
                            <w:lang w:eastAsia="en-US"/>
                          </w:rPr>
                          <w:drawing>
                            <wp:inline distT="0" distB="0" distL="0" distR="0">
                              <wp:extent cx="781050" cy="523875"/>
                              <wp:effectExtent l="0" t="0" r="0" b="9525"/>
                              <wp:docPr id="5" name="Obrázek 5"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fla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781050" cy="523875"/>
                                      </a:xfrm>
                                      <a:prstGeom prst="rect">
                                        <a:avLst/>
                                      </a:prstGeom>
                                      <a:noFill/>
                                      <a:ln>
                                        <a:noFill/>
                                      </a:ln>
                                    </pic:spPr>
                                  </pic:pic>
                                </a:graphicData>
                              </a:graphic>
                            </wp:inline>
                          </w:drawing>
                        </w:r>
                      </w:p>
                    </w:tc>
                    <w:tc>
                      <w:tcPr>
                        <w:tcW w:w="5550" w:type="dxa"/>
                        <w:vAlign w:val="center"/>
                        <w:hideMark/>
                      </w:tcPr>
                      <w:p w:rsidR="00BB224F" w:rsidRDefault="00BB224F">
                        <w:pPr>
                          <w:rPr>
                            <w:rFonts w:ascii="Arial" w:hAnsi="Arial" w:cs="Arial"/>
                            <w:lang w:eastAsia="en-US"/>
                          </w:rPr>
                        </w:pPr>
                        <w:r>
                          <w:rPr>
                            <w:rFonts w:ascii="Arial" w:hAnsi="Arial" w:cs="Arial"/>
                            <w:b/>
                            <w:bCs/>
                            <w:color w:val="FFFFFF"/>
                            <w:sz w:val="18"/>
                            <w:szCs w:val="18"/>
                            <w:lang w:eastAsia="en-US"/>
                          </w:rPr>
                          <w:t>EVROPSKÁ UNIE</w:t>
                        </w:r>
                        <w:r>
                          <w:rPr>
                            <w:rFonts w:ascii="Arial" w:hAnsi="Arial" w:cs="Arial"/>
                            <w:lang w:eastAsia="en-US"/>
                          </w:rPr>
                          <w:br/>
                        </w:r>
                        <w:r>
                          <w:rPr>
                            <w:rFonts w:ascii="Arial" w:hAnsi="Arial" w:cs="Arial"/>
                            <w:b/>
                            <w:bCs/>
                            <w:color w:val="FFFFFF"/>
                            <w:sz w:val="18"/>
                            <w:szCs w:val="18"/>
                            <w:lang w:eastAsia="en-US"/>
                          </w:rPr>
                          <w:t>Evropské strukturální a investiční fondy</w:t>
                        </w:r>
                        <w:r>
                          <w:rPr>
                            <w:rFonts w:ascii="Arial" w:hAnsi="Arial" w:cs="Arial"/>
                            <w:lang w:eastAsia="en-US"/>
                          </w:rPr>
                          <w:br/>
                        </w:r>
                        <w:r>
                          <w:rPr>
                            <w:rFonts w:ascii="Arial" w:hAnsi="Arial" w:cs="Arial"/>
                            <w:b/>
                            <w:bCs/>
                            <w:color w:val="FFFFFF"/>
                            <w:sz w:val="18"/>
                            <w:szCs w:val="18"/>
                            <w:lang w:eastAsia="en-US"/>
                          </w:rPr>
                          <w:t>Operační program Životní prostředí</w:t>
                        </w:r>
                        <w:r>
                          <w:rPr>
                            <w:rFonts w:ascii="Arial" w:hAnsi="Arial" w:cs="Arial"/>
                            <w:lang w:eastAsia="en-US"/>
                          </w:rPr>
                          <w:t xml:space="preserve"> </w:t>
                        </w:r>
                      </w:p>
                    </w:tc>
                  </w:tr>
                </w:tbl>
                <w:p w:rsidR="00BB224F" w:rsidRDefault="00BB224F">
                  <w:pPr>
                    <w:rPr>
                      <w:rFonts w:asciiTheme="minorHAnsi" w:hAnsiTheme="minorHAnsi" w:cstheme="minorBidi"/>
                      <w:lang w:eastAsia="en-US"/>
                    </w:rPr>
                  </w:pPr>
                </w:p>
              </w:tc>
              <w:tc>
                <w:tcPr>
                  <w:tcW w:w="0" w:type="auto"/>
                  <w:shd w:val="clear" w:color="auto" w:fill="E1E1E1"/>
                  <w:vAlign w:val="center"/>
                  <w:hideMark/>
                </w:tcPr>
                <w:p w:rsidR="00BB224F" w:rsidRDefault="00BB224F">
                  <w:pPr>
                    <w:rPr>
                      <w:rFonts w:asciiTheme="minorHAnsi" w:hAnsiTheme="minorHAnsi" w:cstheme="minorBidi"/>
                      <w:sz w:val="20"/>
                      <w:szCs w:val="20"/>
                    </w:rPr>
                  </w:pPr>
                </w:p>
              </w:tc>
            </w:tr>
          </w:tbl>
          <w:p w:rsidR="00BB224F" w:rsidRDefault="00BB224F">
            <w:pPr>
              <w:jc w:val="center"/>
              <w:rPr>
                <w:vanish/>
                <w:lang w:eastAsia="en-US"/>
              </w:rPr>
            </w:pP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426"/>
              <w:gridCol w:w="8220"/>
              <w:gridCol w:w="426"/>
            </w:tblGrid>
            <w:tr w:rsidR="00BB224F">
              <w:trPr>
                <w:tblCellSpacing w:w="0" w:type="dxa"/>
                <w:jc w:val="center"/>
                <w:hidden/>
              </w:trPr>
              <w:tc>
                <w:tcPr>
                  <w:tcW w:w="0" w:type="auto"/>
                  <w:shd w:val="clear" w:color="auto" w:fill="FFFFFF"/>
                  <w:vAlign w:val="center"/>
                  <w:hideMark/>
                </w:tcPr>
                <w:p w:rsidR="00BB224F" w:rsidRDefault="00BB224F">
                  <w:pPr>
                    <w:rPr>
                      <w:vanish/>
                      <w:lang w:eastAsia="en-US"/>
                    </w:rPr>
                  </w:pPr>
                </w:p>
              </w:tc>
              <w:tc>
                <w:tcPr>
                  <w:tcW w:w="7650" w:type="dxa"/>
                  <w:shd w:val="clear" w:color="auto" w:fill="FFFFFF"/>
                  <w:tcMar>
                    <w:top w:w="525" w:type="dxa"/>
                    <w:left w:w="450" w:type="dxa"/>
                    <w:bottom w:w="525" w:type="dxa"/>
                    <w:right w:w="450"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7320"/>
                  </w:tblGrid>
                  <w:tr w:rsidR="00BB224F">
                    <w:trPr>
                      <w:tblCellSpacing w:w="0" w:type="dxa"/>
                    </w:trPr>
                    <w:tc>
                      <w:tcPr>
                        <w:tcW w:w="0" w:type="auto"/>
                        <w:vAlign w:val="center"/>
                        <w:hideMark/>
                      </w:tcPr>
                      <w:p w:rsidR="00BB224F" w:rsidRDefault="00BB224F">
                        <w:pPr>
                          <w:rPr>
                            <w:rFonts w:ascii="Times New Roman" w:hAnsi="Times New Roman" w:cs="Times New Roman"/>
                            <w:b/>
                            <w:bCs/>
                            <w:caps/>
                            <w:color w:val="53545E"/>
                            <w:sz w:val="27"/>
                            <w:szCs w:val="27"/>
                            <w:lang w:eastAsia="en-US"/>
                          </w:rPr>
                        </w:pPr>
                        <w:r>
                          <w:rPr>
                            <w:rFonts w:ascii="Times New Roman" w:hAnsi="Times New Roman" w:cs="Times New Roman"/>
                            <w:b/>
                            <w:bCs/>
                            <w:caps/>
                            <w:color w:val="53545E"/>
                            <w:sz w:val="27"/>
                            <w:szCs w:val="27"/>
                            <w:lang w:eastAsia="en-US"/>
                          </w:rPr>
                          <w:t>Buďte připraveni na sucho, řekněte si o Dešťovku</w:t>
                        </w:r>
                      </w:p>
                    </w:tc>
                  </w:tr>
                  <w:tr w:rsidR="00BB224F">
                    <w:trPr>
                      <w:tblCellSpacing w:w="0" w:type="dxa"/>
                    </w:trPr>
                    <w:tc>
                      <w:tcPr>
                        <w:tcW w:w="0" w:type="auto"/>
                        <w:tcMar>
                          <w:top w:w="375" w:type="dxa"/>
                          <w:left w:w="0" w:type="dxa"/>
                          <w:bottom w:w="375" w:type="dxa"/>
                          <w:right w:w="0" w:type="dxa"/>
                        </w:tcMar>
                        <w:vAlign w:val="center"/>
                        <w:hideMark/>
                      </w:tcPr>
                      <w:p w:rsidR="00BB224F" w:rsidRDefault="00BB224F">
                        <w:pPr>
                          <w:jc w:val="center"/>
                          <w:rPr>
                            <w:lang w:eastAsia="en-US"/>
                          </w:rPr>
                        </w:pPr>
                        <w:r>
                          <w:rPr>
                            <w:noProof/>
                            <w:lang w:eastAsia="en-US"/>
                          </w:rPr>
                          <w:drawing>
                            <wp:inline distT="0" distB="0" distL="0" distR="0">
                              <wp:extent cx="4638675" cy="2790825"/>
                              <wp:effectExtent l="0" t="0" r="9525" b="9525"/>
                              <wp:docPr id="4" name="Obrázek 4" descr="Buďte připraveni na sucho, řekněte si o Dešťov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ďte připraveni na sucho, řekněte si o Dešťovku"/>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638675" cy="2790825"/>
                                      </a:xfrm>
                                      <a:prstGeom prst="rect">
                                        <a:avLst/>
                                      </a:prstGeom>
                                      <a:noFill/>
                                      <a:ln>
                                        <a:noFill/>
                                      </a:ln>
                                    </pic:spPr>
                                  </pic:pic>
                                </a:graphicData>
                              </a:graphic>
                            </wp:inline>
                          </w:drawing>
                        </w:r>
                      </w:p>
                    </w:tc>
                  </w:tr>
                  <w:tr w:rsidR="00BB224F">
                    <w:trPr>
                      <w:tblCellSpacing w:w="0" w:type="dxa"/>
                    </w:trPr>
                    <w:tc>
                      <w:tcPr>
                        <w:tcW w:w="0" w:type="auto"/>
                        <w:tcMar>
                          <w:top w:w="0" w:type="dxa"/>
                          <w:left w:w="0" w:type="dxa"/>
                          <w:bottom w:w="450" w:type="dxa"/>
                          <w:right w:w="0" w:type="dxa"/>
                        </w:tcMar>
                        <w:vAlign w:val="center"/>
                        <w:hideMark/>
                      </w:tcPr>
                      <w:p w:rsidR="00BB224F" w:rsidRDefault="00BB224F">
                        <w:pPr>
                          <w:rPr>
                            <w:lang w:eastAsia="en-US"/>
                          </w:rPr>
                        </w:pPr>
                        <w:r>
                          <w:rPr>
                            <w:rFonts w:ascii="Times New Roman" w:hAnsi="Times New Roman" w:cs="Times New Roman"/>
                            <w:color w:val="53545E"/>
                            <w:sz w:val="18"/>
                            <w:szCs w:val="18"/>
                            <w:lang w:eastAsia="en-US"/>
                          </w:rPr>
                          <w:t>tisková zpráva</w:t>
                        </w:r>
                        <w:r>
                          <w:rPr>
                            <w:lang w:eastAsia="en-US"/>
                          </w:rPr>
                          <w:t xml:space="preserve"> </w:t>
                        </w:r>
                        <w:r>
                          <w:rPr>
                            <w:rFonts w:ascii="Times New Roman" w:hAnsi="Times New Roman" w:cs="Times New Roman"/>
                            <w:color w:val="22B24A"/>
                            <w:sz w:val="18"/>
                            <w:szCs w:val="18"/>
                            <w:lang w:eastAsia="en-US"/>
                          </w:rPr>
                          <w:t>11.5.2018</w:t>
                        </w:r>
                        <w:r>
                          <w:rPr>
                            <w:lang w:eastAsia="en-US"/>
                          </w:rPr>
                          <w:t xml:space="preserve"> </w:t>
                        </w:r>
                      </w:p>
                    </w:tc>
                  </w:tr>
                  <w:tr w:rsidR="00BB224F">
                    <w:trPr>
                      <w:tblCellSpacing w:w="0" w:type="dxa"/>
                    </w:trPr>
                    <w:tc>
                      <w:tcPr>
                        <w:tcW w:w="0" w:type="auto"/>
                        <w:vAlign w:val="center"/>
                        <w:hideMark/>
                      </w:tcPr>
                      <w:p w:rsidR="00BB224F" w:rsidRDefault="00BB224F" w:rsidP="00BB224F">
                        <w:pPr>
                          <w:pStyle w:val="Normlnweb"/>
                          <w:jc w:val="both"/>
                          <w:rPr>
                            <w:rFonts w:ascii="Times New Roman" w:hAnsi="Times New Roman" w:cs="Times New Roman"/>
                            <w:b/>
                            <w:bCs/>
                            <w:color w:val="000000"/>
                            <w:sz w:val="21"/>
                            <w:szCs w:val="21"/>
                            <w:lang w:eastAsia="en-US"/>
                          </w:rPr>
                        </w:pPr>
                        <w:r>
                          <w:rPr>
                            <w:rFonts w:ascii="Times New Roman" w:hAnsi="Times New Roman" w:cs="Times New Roman"/>
                            <w:b/>
                            <w:bCs/>
                            <w:color w:val="000000"/>
                            <w:sz w:val="21"/>
                            <w:szCs w:val="21"/>
                            <w:lang w:eastAsia="en-US"/>
                          </w:rPr>
                          <w:t xml:space="preserve">Česko zažívá nejsušší jaro za posledních 50 let. Prognózy hovoří o prohlubování sucha a zhoršování situace, což se velice negativně promítá do stavu podzemních a povrchových vod. Odborníci i úřady upozorňují na nutnost šetřit s draze vyčištěnou a leckde už hůře dostupnou pitnou vodou, varují před napouštěním bazénů, a volají po řešeních, která k závlaze zahrad, parků anebo splachování využívají srážkovou vodu. Právě na takové systémy přispívá jak domácnostem, tak i městům a obcím Ministerstvo životního prostředí. Pro majitele rodinných a bytových domů je určený dotační program Dešťovka. Městům a obcím posílá rezort na tzv. „velkou Dešťovku“ 1,8 miliardy z Operačního programu Životní prostředí. </w:t>
                        </w:r>
                      </w:p>
                    </w:tc>
                  </w:tr>
                  <w:tr w:rsidR="00BB224F">
                    <w:trPr>
                      <w:tblCellSpacing w:w="0" w:type="dxa"/>
                    </w:trPr>
                    <w:tc>
                      <w:tcPr>
                        <w:tcW w:w="0" w:type="auto"/>
                        <w:vAlign w:val="center"/>
                      </w:tcPr>
                      <w:p w:rsidR="00BB224F" w:rsidRDefault="00BB224F" w:rsidP="00BB224F">
                        <w:pPr>
                          <w:pStyle w:val="Nadpis2"/>
                          <w:jc w:val="both"/>
                          <w:rPr>
                            <w:rFonts w:ascii="Times New Roman" w:eastAsiaTheme="minorHAnsi" w:hAnsi="Times New Roman" w:cs="Times New Roman"/>
                            <w:color w:val="000000"/>
                            <w:lang w:eastAsia="en-US"/>
                          </w:rPr>
                        </w:pPr>
                        <w:r>
                          <w:rPr>
                            <w:rFonts w:ascii="Times New Roman" w:eastAsiaTheme="minorHAnsi" w:hAnsi="Times New Roman" w:cs="Times New Roman"/>
                            <w:color w:val="000000"/>
                            <w:lang w:eastAsia="en-US"/>
                          </w:rPr>
                          <w:t xml:space="preserve">S Dešťovkou zachytíte vodu i z přívalových dešťů </w:t>
                        </w:r>
                      </w:p>
                      <w:p w:rsidR="00BB224F" w:rsidRDefault="00BB224F" w:rsidP="00BB224F">
                        <w:pPr>
                          <w:pStyle w:val="Normlnweb"/>
                          <w:jc w:val="both"/>
                          <w:rPr>
                            <w:rFonts w:ascii="Times New Roman" w:hAnsi="Times New Roman" w:cs="Times New Roman"/>
                            <w:color w:val="000000"/>
                            <w:sz w:val="21"/>
                            <w:szCs w:val="21"/>
                            <w:lang w:eastAsia="en-US"/>
                          </w:rPr>
                        </w:pPr>
                        <w:r>
                          <w:rPr>
                            <w:rFonts w:ascii="Times New Roman" w:hAnsi="Times New Roman" w:cs="Times New Roman"/>
                            <w:color w:val="000000"/>
                            <w:sz w:val="21"/>
                            <w:szCs w:val="21"/>
                            <w:lang w:eastAsia="en-US"/>
                          </w:rPr>
                          <w:t xml:space="preserve">Pilotní program na využívání srážkové a odpadní vody spustilo Ministerstvo životního prostředí v dubnu loňského roku. Majitelé rodinných a bytových domů si dotace v celkové výši 110 milionů korun rozebrali doslova během několika hodin. S ohledem na nebývalý zájem spustil Státní fond životního prostředí ČR, který Dešťovku s MŽP </w:t>
                        </w:r>
                        <w:r>
                          <w:rPr>
                            <w:rFonts w:ascii="Times New Roman" w:hAnsi="Times New Roman" w:cs="Times New Roman"/>
                            <w:color w:val="000000"/>
                            <w:sz w:val="21"/>
                            <w:szCs w:val="21"/>
                            <w:lang w:eastAsia="en-US"/>
                          </w:rPr>
                          <w:lastRenderedPageBreak/>
                          <w:t xml:space="preserve">připravil a administruje, ještě v září téhož roku druhé kolo a nabídl v něm dvojnásobné množství peněz. Polovinu vyhradil do lokalit dlouhodobě postižených suchem. </w:t>
                        </w:r>
                      </w:p>
                      <w:p w:rsidR="00BB224F" w:rsidRDefault="00BB224F" w:rsidP="00BB224F">
                        <w:pPr>
                          <w:pStyle w:val="Normlnweb"/>
                          <w:jc w:val="both"/>
                          <w:rPr>
                            <w:rFonts w:ascii="Times New Roman" w:hAnsi="Times New Roman" w:cs="Times New Roman"/>
                            <w:color w:val="000000"/>
                            <w:sz w:val="21"/>
                            <w:szCs w:val="21"/>
                            <w:lang w:eastAsia="en-US"/>
                          </w:rPr>
                        </w:pPr>
                        <w:r>
                          <w:rPr>
                            <w:rFonts w:ascii="Times New Roman" w:hAnsi="Times New Roman" w:cs="Times New Roman"/>
                            <w:color w:val="000000"/>
                            <w:sz w:val="21"/>
                            <w:szCs w:val="21"/>
                            <w:lang w:eastAsia="en-US"/>
                          </w:rPr>
                          <w:t xml:space="preserve">„Příjem žádostí o dotace z druhého kola programu Dešťovka stále probíhá. Kdo nemá v době sucha čím zalévat a zároveň chce ušetřit, neměl by váhat. V posledních týdnech evidujeme nárůst odeslaných i rozpracovaných žádostí a vyhrazené finance tak postupně ubývají. V současnosti zbývá dočerpat zhruba 130 milionů korun,“ komentuje aktuální stav ředitel Státního fondu životního prostředí ČR Petr Valdman. </w:t>
                        </w:r>
                      </w:p>
                      <w:p w:rsidR="00BB224F" w:rsidRDefault="00BB224F" w:rsidP="00BB224F">
                        <w:pPr>
                          <w:pStyle w:val="Normlnweb"/>
                          <w:jc w:val="both"/>
                          <w:rPr>
                            <w:rFonts w:ascii="Times New Roman" w:hAnsi="Times New Roman" w:cs="Times New Roman"/>
                            <w:color w:val="000000"/>
                            <w:sz w:val="21"/>
                            <w:szCs w:val="21"/>
                            <w:lang w:eastAsia="en-US"/>
                          </w:rPr>
                        </w:pPr>
                        <w:r>
                          <w:rPr>
                            <w:rFonts w:ascii="Times New Roman" w:hAnsi="Times New Roman" w:cs="Times New Roman"/>
                            <w:color w:val="000000"/>
                            <w:sz w:val="21"/>
                            <w:szCs w:val="21"/>
                            <w:lang w:eastAsia="en-US"/>
                          </w:rPr>
                          <w:t xml:space="preserve">Dotační program Dešťovka podporuje tři základní systémy – nádrž na srážkovou vodu na zalévání zahrady, nádrž na srážkovou vodu k zalévání i splachování v domácnosti a systém na recyklaci odpadní vody z domácnosti. </w:t>
                        </w:r>
                      </w:p>
                      <w:p w:rsidR="00BB224F" w:rsidRDefault="00BB224F" w:rsidP="00BB224F">
                        <w:pPr>
                          <w:pStyle w:val="Normlnweb"/>
                          <w:jc w:val="both"/>
                          <w:rPr>
                            <w:rFonts w:ascii="Times New Roman" w:hAnsi="Times New Roman" w:cs="Times New Roman"/>
                            <w:color w:val="000000"/>
                            <w:sz w:val="21"/>
                            <w:szCs w:val="21"/>
                            <w:lang w:eastAsia="en-US"/>
                          </w:rPr>
                        </w:pPr>
                        <w:r>
                          <w:rPr>
                            <w:rFonts w:ascii="Times New Roman" w:hAnsi="Times New Roman" w:cs="Times New Roman"/>
                            <w:color w:val="000000"/>
                            <w:sz w:val="21"/>
                            <w:szCs w:val="21"/>
                            <w:lang w:eastAsia="en-US"/>
                          </w:rPr>
                          <w:t xml:space="preserve">„Dešťovka pokryje domácnosti až polovinu výdajů na zavedení systému využívající srážkovou či odpadní vodu, což může být podle zvolené varianty až 105 tisíc korun,“ vypočítává úsporu ministr životního prostředí Richard Brabec a dodává: „Nádrže na srážkovou vodu majitelé domů ocení zejména při přívalových deštích, které jsou v jarních a letních měsících častější než v jiných obdobích. Voda z nich se do vyschlé půdy vsakuje jen těžko, zatímco nádrže na vodu naplní a vodu lze používat ještě několik týdnů poté. Nejenom že domácnosti ušetří díky nižší spotřebě pitné vody, ale v domácnostech bude voda díky nádržím dostupná i v suchých obdobích.“ </w:t>
                        </w:r>
                      </w:p>
                      <w:p w:rsidR="00BB224F" w:rsidRDefault="00BB224F" w:rsidP="00BB224F">
                        <w:pPr>
                          <w:pStyle w:val="Normlnweb"/>
                          <w:jc w:val="both"/>
                          <w:rPr>
                            <w:rFonts w:ascii="Times New Roman" w:hAnsi="Times New Roman" w:cs="Times New Roman"/>
                            <w:color w:val="000000"/>
                            <w:sz w:val="21"/>
                            <w:szCs w:val="21"/>
                            <w:lang w:eastAsia="en-US"/>
                          </w:rPr>
                        </w:pPr>
                        <w:r>
                          <w:rPr>
                            <w:rFonts w:ascii="Times New Roman" w:hAnsi="Times New Roman" w:cs="Times New Roman"/>
                            <w:color w:val="000000"/>
                            <w:sz w:val="21"/>
                            <w:szCs w:val="21"/>
                            <w:lang w:eastAsia="en-US"/>
                          </w:rPr>
                          <w:t xml:space="preserve">Podání žádostí lze provést jednoduše: elektronicky přes formulář na webových stránkách programu </w:t>
                        </w:r>
                        <w:hyperlink r:id="rId8" w:history="1">
                          <w:r>
                            <w:rPr>
                              <w:rStyle w:val="Hypertextovodkaz"/>
                              <w:rFonts w:ascii="Times New Roman" w:hAnsi="Times New Roman" w:cs="Times New Roman"/>
                              <w:sz w:val="21"/>
                              <w:szCs w:val="21"/>
                              <w:lang w:eastAsia="en-US"/>
                            </w:rPr>
                            <w:t>www.dotacedestov</w:t>
                          </w:r>
                          <w:bookmarkStart w:id="0" w:name="_GoBack"/>
                          <w:bookmarkEnd w:id="0"/>
                          <w:r>
                            <w:rPr>
                              <w:rStyle w:val="Hypertextovodkaz"/>
                              <w:rFonts w:ascii="Times New Roman" w:hAnsi="Times New Roman" w:cs="Times New Roman"/>
                              <w:sz w:val="21"/>
                              <w:szCs w:val="21"/>
                              <w:lang w:eastAsia="en-US"/>
                            </w:rPr>
                            <w:t>ka.cz</w:t>
                          </w:r>
                        </w:hyperlink>
                        <w:r>
                          <w:rPr>
                            <w:rFonts w:ascii="Times New Roman" w:hAnsi="Times New Roman" w:cs="Times New Roman"/>
                            <w:color w:val="000000"/>
                            <w:sz w:val="21"/>
                            <w:szCs w:val="21"/>
                            <w:lang w:eastAsia="en-US"/>
                          </w:rPr>
                          <w:t xml:space="preserve">, kde jsou také k dispozici vzory všech základních dokumentů, a poté žádost písemně do 30 dnů doložit spolu s jednoduchým odborným posudkem na jakémkoli pracovišti Státního fondu životního prostředí ČR. </w:t>
                        </w:r>
                      </w:p>
                      <w:p w:rsidR="00BB224F" w:rsidRDefault="00BB224F" w:rsidP="00BB224F">
                        <w:pPr>
                          <w:pStyle w:val="Normlnweb"/>
                          <w:jc w:val="both"/>
                          <w:rPr>
                            <w:rFonts w:ascii="Times New Roman" w:hAnsi="Times New Roman" w:cs="Times New Roman"/>
                            <w:color w:val="000000"/>
                            <w:sz w:val="21"/>
                            <w:szCs w:val="21"/>
                            <w:lang w:eastAsia="en-US"/>
                          </w:rPr>
                        </w:pPr>
                        <w:r>
                          <w:rPr>
                            <w:rFonts w:ascii="Times New Roman" w:hAnsi="Times New Roman" w:cs="Times New Roman"/>
                            <w:color w:val="000000"/>
                            <w:sz w:val="21"/>
                            <w:szCs w:val="21"/>
                            <w:lang w:eastAsia="en-US"/>
                          </w:rPr>
                          <w:t xml:space="preserve">V druhém kole Dešťovky bylo dosud přijato 2 297 žádostí za 110 milionů korun a dalších 547 žádostí za 25 milionů je v systému rozpracováno. Schváleno je 1 672 žádostí za 79 milionů korun, z toho 79 žádostí za 2,2 milionů již bylo vyplaceno. Největší zájem je o dotované systémy na srážkovou vodu určenou pro splachování a současně zalévání zahrady, o které mohou žádat lidé z celé České republiky nikoli jen z oblastí postižených suchem. Z celkového počtu přijatých žádostí tvoří tyto žádosti zhruba 85 procent. Nejvíce žádostí chodí ze Středočeského, Jihomoravského a Moravskoslezského kraje. </w:t>
                        </w:r>
                      </w:p>
                      <w:p w:rsidR="00BB224F" w:rsidRDefault="00F634E4">
                        <w:pPr>
                          <w:pStyle w:val="Normlnweb"/>
                          <w:rPr>
                            <w:rFonts w:ascii="Times New Roman" w:hAnsi="Times New Roman" w:cs="Times New Roman"/>
                            <w:color w:val="000000"/>
                            <w:sz w:val="21"/>
                            <w:szCs w:val="21"/>
                            <w:lang w:eastAsia="en-US"/>
                          </w:rPr>
                        </w:pPr>
                        <w:hyperlink r:id="rId9" w:history="1">
                          <w:r w:rsidR="00BB224F">
                            <w:rPr>
                              <w:rStyle w:val="Hypertextovodkaz"/>
                              <w:rFonts w:ascii="Times New Roman" w:hAnsi="Times New Roman" w:cs="Times New Roman"/>
                              <w:sz w:val="21"/>
                              <w:szCs w:val="21"/>
                              <w:lang w:eastAsia="en-US"/>
                            </w:rPr>
                            <w:t xml:space="preserve">Leták – (malá) Dešťovka pro majitele rodinných a bytových </w:t>
                          </w:r>
                          <w:r w:rsidR="00BB224F">
                            <w:rPr>
                              <w:rStyle w:val="Hypertextovodkaz"/>
                              <w:rFonts w:ascii="Times New Roman" w:hAnsi="Times New Roman" w:cs="Times New Roman"/>
                              <w:sz w:val="21"/>
                              <w:szCs w:val="21"/>
                              <w:lang w:eastAsia="en-US"/>
                            </w:rPr>
                            <w:t>domů</w:t>
                          </w:r>
                        </w:hyperlink>
                        <w:r w:rsidR="00BB224F">
                          <w:rPr>
                            <w:rStyle w:val="ng-scope"/>
                            <w:rFonts w:ascii="Times New Roman" w:hAnsi="Times New Roman" w:cs="Times New Roman"/>
                            <w:color w:val="000000"/>
                            <w:sz w:val="21"/>
                            <w:szCs w:val="21"/>
                            <w:lang w:eastAsia="en-US"/>
                          </w:rPr>
                          <w:t xml:space="preserve"> (</w:t>
                        </w:r>
                        <w:proofErr w:type="spellStart"/>
                        <w:r w:rsidR="00BB224F">
                          <w:rPr>
                            <w:rStyle w:val="ng-scope"/>
                            <w:rFonts w:ascii="Times New Roman" w:hAnsi="Times New Roman" w:cs="Times New Roman"/>
                            <w:color w:val="000000"/>
                            <w:sz w:val="21"/>
                            <w:szCs w:val="21"/>
                            <w:lang w:eastAsia="en-US"/>
                          </w:rPr>
                          <w:t>pdf</w:t>
                        </w:r>
                        <w:proofErr w:type="spellEnd"/>
                        <w:r w:rsidR="00BB224F">
                          <w:rPr>
                            <w:rStyle w:val="ng-scope"/>
                            <w:rFonts w:ascii="Times New Roman" w:hAnsi="Times New Roman" w:cs="Times New Roman"/>
                            <w:color w:val="000000"/>
                            <w:sz w:val="21"/>
                            <w:szCs w:val="21"/>
                            <w:lang w:eastAsia="en-US"/>
                          </w:rPr>
                          <w:t>)</w:t>
                        </w:r>
                      </w:p>
                      <w:p w:rsidR="00BB224F" w:rsidRDefault="00BB224F">
                        <w:pPr>
                          <w:pStyle w:val="Normlnweb"/>
                          <w:rPr>
                            <w:rFonts w:ascii="Times New Roman" w:hAnsi="Times New Roman" w:cs="Times New Roman"/>
                            <w:color w:val="000000"/>
                            <w:sz w:val="21"/>
                            <w:szCs w:val="21"/>
                            <w:lang w:eastAsia="en-US"/>
                          </w:rPr>
                        </w:pPr>
                      </w:p>
                      <w:p w:rsidR="00BB224F" w:rsidRDefault="00BB224F">
                        <w:pPr>
                          <w:pStyle w:val="Nadpis2"/>
                          <w:rPr>
                            <w:rFonts w:ascii="Times New Roman" w:eastAsiaTheme="minorHAnsi" w:hAnsi="Times New Roman" w:cs="Times New Roman"/>
                            <w:color w:val="000000"/>
                            <w:lang w:eastAsia="en-US"/>
                          </w:rPr>
                        </w:pPr>
                        <w:r>
                          <w:rPr>
                            <w:rFonts w:ascii="Times New Roman" w:eastAsiaTheme="minorHAnsi" w:hAnsi="Times New Roman" w:cs="Times New Roman"/>
                            <w:color w:val="000000"/>
                            <w:lang w:eastAsia="en-US"/>
                          </w:rPr>
                          <w:t xml:space="preserve">Obce mohou efektivně hospodařit s vodou díky dotacím z OPŽP </w:t>
                        </w:r>
                      </w:p>
                      <w:p w:rsidR="00BB224F" w:rsidRDefault="00BB224F" w:rsidP="00BB224F">
                        <w:pPr>
                          <w:pStyle w:val="Normlnweb"/>
                          <w:jc w:val="both"/>
                          <w:rPr>
                            <w:rFonts w:ascii="Times New Roman" w:hAnsi="Times New Roman" w:cs="Times New Roman"/>
                            <w:color w:val="000000"/>
                            <w:sz w:val="21"/>
                            <w:szCs w:val="21"/>
                            <w:lang w:eastAsia="en-US"/>
                          </w:rPr>
                        </w:pPr>
                        <w:r>
                          <w:rPr>
                            <w:rFonts w:ascii="Times New Roman" w:hAnsi="Times New Roman" w:cs="Times New Roman"/>
                            <w:color w:val="000000"/>
                            <w:sz w:val="21"/>
                            <w:szCs w:val="21"/>
                            <w:lang w:eastAsia="en-US"/>
                          </w:rPr>
                          <w:t xml:space="preserve">Nejen domácnosti ale také obce, školy, nemocnice, úřady, příspěvkové a neziskové organizace mohou získat příspěvek na systém zachytávající srážkovou vodu a využívat ji například na zalévání či jako vodu užitkovou ve veřejných budovách. Peníze jim poskytuje ministerstvo z Operačního programu Životní prostředí, kde je k dispozici na tzv. „velkou Dešťovku“ vyhrazeno 1,8 miliardy korun. O dotaci mohou organizace a úřady požádat až do 7. ledna 2019. </w:t>
                        </w:r>
                      </w:p>
                      <w:p w:rsidR="00BB224F" w:rsidRDefault="00BB224F" w:rsidP="00BB224F">
                        <w:pPr>
                          <w:pStyle w:val="Normlnweb"/>
                          <w:jc w:val="both"/>
                          <w:rPr>
                            <w:rFonts w:ascii="Times New Roman" w:hAnsi="Times New Roman" w:cs="Times New Roman"/>
                            <w:color w:val="000000"/>
                            <w:sz w:val="21"/>
                            <w:szCs w:val="21"/>
                            <w:lang w:eastAsia="en-US"/>
                          </w:rPr>
                        </w:pPr>
                        <w:r>
                          <w:rPr>
                            <w:rFonts w:ascii="Times New Roman" w:hAnsi="Times New Roman" w:cs="Times New Roman"/>
                            <w:color w:val="000000"/>
                            <w:sz w:val="21"/>
                            <w:szCs w:val="21"/>
                            <w:lang w:eastAsia="en-US"/>
                          </w:rPr>
                          <w:lastRenderedPageBreak/>
                          <w:t xml:space="preserve">„Ve velké Dešťovce podporujeme různé systémy určené k hospodaření s vodou ve veřejných zařízeních, např. podzemní nádrže a jímky na shromažďování srážkové vody využívané pro veřejnou potřebu, zelené střechy u veřejných budov, vodou propustné povrchy, zasakovací pásy u parkovišť nebo úpravu koryt vodních toků protékajících obcí či různé vodní prvky protipovodňové ochrany jako bezpečnostní přelivy hrází, suché a polosuché poldry, nebo vsakovací či retenční nádrže,“ vyjmenovává ministr Brabec. </w:t>
                        </w:r>
                      </w:p>
                      <w:p w:rsidR="00BB224F" w:rsidRDefault="00BB224F" w:rsidP="00BB224F">
                        <w:pPr>
                          <w:pStyle w:val="Normlnweb"/>
                          <w:jc w:val="both"/>
                          <w:rPr>
                            <w:rFonts w:ascii="Times New Roman" w:hAnsi="Times New Roman" w:cs="Times New Roman"/>
                            <w:color w:val="000000"/>
                            <w:sz w:val="21"/>
                            <w:szCs w:val="21"/>
                            <w:lang w:eastAsia="en-US"/>
                          </w:rPr>
                        </w:pPr>
                        <w:r>
                          <w:rPr>
                            <w:rFonts w:ascii="Times New Roman" w:hAnsi="Times New Roman" w:cs="Times New Roman"/>
                            <w:color w:val="000000"/>
                            <w:sz w:val="21"/>
                            <w:szCs w:val="21"/>
                            <w:lang w:eastAsia="en-US"/>
                          </w:rPr>
                          <w:t xml:space="preserve">Dotace může žadateli pokrýt až 85 procent výdajů na projekt, s výjimkou výměny nepropustných zpevněných povrchů za propustné povrchy, kde dotační podpora může dosáhnout nejvýše 50 % celkových způsobilých výdajů. </w:t>
                        </w:r>
                      </w:p>
                      <w:p w:rsidR="00BB224F" w:rsidRDefault="00BB224F" w:rsidP="00BB224F">
                        <w:pPr>
                          <w:pStyle w:val="Normlnweb"/>
                          <w:jc w:val="both"/>
                          <w:rPr>
                            <w:rFonts w:ascii="Times New Roman" w:hAnsi="Times New Roman" w:cs="Times New Roman"/>
                            <w:color w:val="000000"/>
                            <w:sz w:val="21"/>
                            <w:szCs w:val="21"/>
                            <w:lang w:eastAsia="en-US"/>
                          </w:rPr>
                        </w:pPr>
                        <w:r>
                          <w:rPr>
                            <w:rFonts w:ascii="Times New Roman" w:hAnsi="Times New Roman" w:cs="Times New Roman"/>
                            <w:color w:val="000000"/>
                            <w:sz w:val="21"/>
                            <w:szCs w:val="21"/>
                            <w:lang w:eastAsia="en-US"/>
                          </w:rPr>
                          <w:t xml:space="preserve">V dosavadních výzvách si o dotaci na systémy hospodaření s pitnou požádalo 66 žadatelů z řad obcí, měst a dalších subjektů, kteří si řekli o příspěvek v celkové výši 405 milionů korun. Třetina z nich už má dotaci schválenou a může začít připravovat realizaci svých projektů. </w:t>
                        </w:r>
                      </w:p>
                      <w:p w:rsidR="00BB224F" w:rsidRDefault="00F634E4">
                        <w:pPr>
                          <w:pStyle w:val="Normlnweb"/>
                          <w:rPr>
                            <w:rFonts w:ascii="Times New Roman" w:hAnsi="Times New Roman" w:cs="Times New Roman"/>
                            <w:color w:val="000000"/>
                            <w:sz w:val="21"/>
                            <w:szCs w:val="21"/>
                            <w:lang w:eastAsia="en-US"/>
                          </w:rPr>
                        </w:pPr>
                        <w:hyperlink r:id="rId10" w:history="1">
                          <w:r w:rsidR="00BB224F">
                            <w:rPr>
                              <w:rStyle w:val="Hypertextovodkaz"/>
                              <w:rFonts w:ascii="Times New Roman" w:hAnsi="Times New Roman" w:cs="Times New Roman"/>
                              <w:sz w:val="21"/>
                              <w:szCs w:val="21"/>
                              <w:lang w:eastAsia="en-US"/>
                            </w:rPr>
                            <w:t>Dokumenty k 113. výzvě OPŽP</w:t>
                          </w:r>
                        </w:hyperlink>
                        <w:r w:rsidR="00BB224F">
                          <w:rPr>
                            <w:rStyle w:val="ng-scope"/>
                            <w:rFonts w:ascii="Times New Roman" w:hAnsi="Times New Roman" w:cs="Times New Roman"/>
                            <w:color w:val="000000"/>
                            <w:sz w:val="21"/>
                            <w:szCs w:val="21"/>
                            <w:lang w:eastAsia="en-US"/>
                          </w:rPr>
                          <w:t xml:space="preserve"> </w:t>
                        </w:r>
                        <w:r w:rsidR="00BB224F">
                          <w:rPr>
                            <w:rFonts w:ascii="Times New Roman" w:hAnsi="Times New Roman" w:cs="Times New Roman"/>
                            <w:color w:val="000000"/>
                            <w:sz w:val="21"/>
                            <w:szCs w:val="21"/>
                            <w:lang w:eastAsia="en-US"/>
                          </w:rPr>
                          <w:br/>
                        </w:r>
                        <w:hyperlink r:id="rId11" w:history="1">
                          <w:r w:rsidR="00BB224F">
                            <w:rPr>
                              <w:rStyle w:val="Hypertextovodkaz"/>
                              <w:rFonts w:ascii="Times New Roman" w:hAnsi="Times New Roman" w:cs="Times New Roman"/>
                              <w:sz w:val="21"/>
                              <w:szCs w:val="21"/>
                              <w:lang w:eastAsia="en-US"/>
                            </w:rPr>
                            <w:t>Leták – (velká) Dešťovka pro obce</w:t>
                          </w:r>
                        </w:hyperlink>
                        <w:r w:rsidR="00BB224F">
                          <w:rPr>
                            <w:rFonts w:ascii="Times New Roman" w:hAnsi="Times New Roman" w:cs="Times New Roman"/>
                            <w:color w:val="000000"/>
                            <w:sz w:val="21"/>
                            <w:szCs w:val="21"/>
                            <w:lang w:eastAsia="en-US"/>
                          </w:rPr>
                          <w:t xml:space="preserve"> (</w:t>
                        </w:r>
                        <w:proofErr w:type="spellStart"/>
                        <w:r w:rsidR="00BB224F">
                          <w:rPr>
                            <w:rFonts w:ascii="Times New Roman" w:hAnsi="Times New Roman" w:cs="Times New Roman"/>
                            <w:color w:val="000000"/>
                            <w:sz w:val="21"/>
                            <w:szCs w:val="21"/>
                            <w:lang w:eastAsia="en-US"/>
                          </w:rPr>
                          <w:t>pdf</w:t>
                        </w:r>
                        <w:proofErr w:type="spellEnd"/>
                        <w:r w:rsidR="00BB224F">
                          <w:rPr>
                            <w:rFonts w:ascii="Times New Roman" w:hAnsi="Times New Roman" w:cs="Times New Roman"/>
                            <w:color w:val="000000"/>
                            <w:sz w:val="21"/>
                            <w:szCs w:val="21"/>
                            <w:lang w:eastAsia="en-US"/>
                          </w:rPr>
                          <w:t xml:space="preserve">) </w:t>
                        </w:r>
                      </w:p>
                    </w:tc>
                  </w:tr>
                  <w:tr w:rsidR="00BB224F">
                    <w:trPr>
                      <w:tblCellSpacing w:w="0" w:type="dxa"/>
                    </w:trPr>
                    <w:tc>
                      <w:tcPr>
                        <w:tcW w:w="0" w:type="auto"/>
                        <w:tcMar>
                          <w:top w:w="375" w:type="dxa"/>
                          <w:left w:w="0" w:type="dxa"/>
                          <w:bottom w:w="375" w:type="dxa"/>
                          <w:right w:w="0" w:type="dxa"/>
                        </w:tcMar>
                        <w:vAlign w:val="center"/>
                        <w:hideMark/>
                      </w:tcPr>
                      <w:p w:rsidR="00BB224F" w:rsidRDefault="00F634E4">
                        <w:pPr>
                          <w:rPr>
                            <w:lang w:eastAsia="en-US"/>
                          </w:rPr>
                        </w:pPr>
                        <w:hyperlink r:id="rId12" w:tgtFrame="_blank" w:history="1">
                          <w:r w:rsidR="00BB224F">
                            <w:rPr>
                              <w:rStyle w:val="Hypertextovodkaz"/>
                              <w:rFonts w:ascii="Arial" w:hAnsi="Arial" w:cs="Arial"/>
                              <w:b/>
                              <w:bCs/>
                              <w:caps/>
                              <w:color w:val="FFFFFF"/>
                              <w:sz w:val="21"/>
                              <w:szCs w:val="21"/>
                              <w:bdr w:val="single" w:sz="48" w:space="0" w:color="247ED3" w:frame="1"/>
                              <w:shd w:val="clear" w:color="auto" w:fill="247ED3"/>
                              <w:lang w:eastAsia="en-US"/>
                            </w:rPr>
                            <w:t>číst vše</w:t>
                          </w:r>
                        </w:hyperlink>
                        <w:r w:rsidR="00BB224F">
                          <w:rPr>
                            <w:lang w:eastAsia="en-US"/>
                          </w:rPr>
                          <w:t xml:space="preserve"> </w:t>
                        </w:r>
                      </w:p>
                    </w:tc>
                  </w:tr>
                </w:tbl>
                <w:p w:rsidR="00BB224F" w:rsidRDefault="00BB224F">
                  <w:pPr>
                    <w:rPr>
                      <w:rFonts w:asciiTheme="minorHAnsi" w:hAnsiTheme="minorHAnsi" w:cstheme="minorBidi"/>
                      <w:lang w:eastAsia="en-US"/>
                    </w:rPr>
                  </w:pPr>
                </w:p>
              </w:tc>
              <w:tc>
                <w:tcPr>
                  <w:tcW w:w="0" w:type="auto"/>
                  <w:shd w:val="clear" w:color="auto" w:fill="FFFFFF"/>
                  <w:vAlign w:val="center"/>
                  <w:hideMark/>
                </w:tcPr>
                <w:p w:rsidR="00BB224F" w:rsidRDefault="00BB224F">
                  <w:pPr>
                    <w:rPr>
                      <w:rFonts w:asciiTheme="minorHAnsi" w:hAnsiTheme="minorHAnsi" w:cstheme="minorBidi"/>
                      <w:sz w:val="20"/>
                      <w:szCs w:val="20"/>
                    </w:rPr>
                  </w:pPr>
                </w:p>
              </w:tc>
            </w:tr>
          </w:tbl>
          <w:p w:rsidR="00BB224F" w:rsidRDefault="00BB224F">
            <w:pPr>
              <w:jc w:val="center"/>
              <w:rPr>
                <w:vanish/>
                <w:lang w:eastAsia="en-US"/>
              </w:rPr>
            </w:pPr>
          </w:p>
          <w:tbl>
            <w:tblPr>
              <w:tblW w:w="5000" w:type="pct"/>
              <w:jc w:val="center"/>
              <w:tblCellSpacing w:w="0" w:type="dxa"/>
              <w:shd w:val="clear" w:color="auto" w:fill="E1E1E1"/>
              <w:tblCellMar>
                <w:left w:w="0" w:type="dxa"/>
                <w:right w:w="0" w:type="dxa"/>
              </w:tblCellMar>
              <w:tblLook w:val="04A0" w:firstRow="1" w:lastRow="0" w:firstColumn="1" w:lastColumn="0" w:noHBand="0" w:noVBand="1"/>
            </w:tblPr>
            <w:tblGrid>
              <w:gridCol w:w="261"/>
              <w:gridCol w:w="8550"/>
              <w:gridCol w:w="261"/>
            </w:tblGrid>
            <w:tr w:rsidR="00BB224F">
              <w:trPr>
                <w:trHeight w:val="3000"/>
                <w:tblCellSpacing w:w="0" w:type="dxa"/>
                <w:jc w:val="center"/>
                <w:hidden/>
              </w:trPr>
              <w:tc>
                <w:tcPr>
                  <w:tcW w:w="0" w:type="auto"/>
                  <w:shd w:val="clear" w:color="auto" w:fill="E1E1E1"/>
                  <w:vAlign w:val="center"/>
                  <w:hideMark/>
                </w:tcPr>
                <w:p w:rsidR="00BB224F" w:rsidRDefault="00BB224F">
                  <w:pPr>
                    <w:rPr>
                      <w:vanish/>
                      <w:lang w:eastAsia="en-US"/>
                    </w:rPr>
                  </w:pPr>
                </w:p>
              </w:tc>
              <w:tc>
                <w:tcPr>
                  <w:tcW w:w="8550" w:type="dxa"/>
                  <w:shd w:val="clear" w:color="auto" w:fill="0C4DA1"/>
                  <w:vAlign w:val="center"/>
                  <w:hideMark/>
                </w:tcPr>
                <w:tbl>
                  <w:tblPr>
                    <w:tblW w:w="5000" w:type="pct"/>
                    <w:tblCellSpacing w:w="0" w:type="dxa"/>
                    <w:tblCellMar>
                      <w:left w:w="0" w:type="dxa"/>
                      <w:right w:w="0" w:type="dxa"/>
                    </w:tblCellMar>
                    <w:tblLook w:val="04A0" w:firstRow="1" w:lastRow="0" w:firstColumn="1" w:lastColumn="0" w:noHBand="0" w:noVBand="1"/>
                  </w:tblPr>
                  <w:tblGrid>
                    <w:gridCol w:w="2775"/>
                    <w:gridCol w:w="5775"/>
                  </w:tblGrid>
                  <w:tr w:rsidR="00BB224F">
                    <w:trPr>
                      <w:tblCellSpacing w:w="0" w:type="dxa"/>
                    </w:trPr>
                    <w:tc>
                      <w:tcPr>
                        <w:tcW w:w="1500" w:type="pct"/>
                        <w:tcMar>
                          <w:top w:w="0" w:type="dxa"/>
                          <w:left w:w="2250" w:type="dxa"/>
                          <w:bottom w:w="0" w:type="dxa"/>
                          <w:right w:w="375" w:type="dxa"/>
                        </w:tcMar>
                        <w:vAlign w:val="center"/>
                        <w:hideMark/>
                      </w:tcPr>
                      <w:p w:rsidR="00BB224F" w:rsidRDefault="00BB224F">
                        <w:pPr>
                          <w:spacing w:line="450" w:lineRule="atLeast"/>
                          <w:rPr>
                            <w:lang w:eastAsia="en-US"/>
                          </w:rPr>
                        </w:pPr>
                        <w:r>
                          <w:rPr>
                            <w:noProof/>
                            <w:lang w:eastAsia="en-US"/>
                          </w:rPr>
                          <w:drawing>
                            <wp:inline distT="0" distB="0" distL="0" distR="0">
                              <wp:extent cx="85725" cy="114300"/>
                              <wp:effectExtent l="0" t="0" r="9525" b="0"/>
                              <wp:docPr id="3" name="Obrázek 3" descr="cid:86441619bd1d1fbfe5f67038e4a6590b@swift.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86441619bd1d1fbfe5f67038e4a6590b@swift.generated"/>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p>
                    </w:tc>
                    <w:tc>
                      <w:tcPr>
                        <w:tcW w:w="0" w:type="auto"/>
                        <w:vAlign w:val="center"/>
                        <w:hideMark/>
                      </w:tcPr>
                      <w:p w:rsidR="00BB224F" w:rsidRDefault="00F634E4">
                        <w:pPr>
                          <w:spacing w:line="450" w:lineRule="atLeast"/>
                          <w:rPr>
                            <w:lang w:eastAsia="en-US"/>
                          </w:rPr>
                        </w:pPr>
                        <w:hyperlink r:id="rId15" w:tgtFrame="_blank" w:history="1">
                          <w:r w:rsidR="00BB224F">
                            <w:rPr>
                              <w:rStyle w:val="Hypertextovodkaz"/>
                              <w:rFonts w:ascii="Arial" w:hAnsi="Arial" w:cs="Arial"/>
                              <w:color w:val="FFFFFF"/>
                              <w:sz w:val="21"/>
                              <w:szCs w:val="21"/>
                              <w:lang w:eastAsia="en-US"/>
                            </w:rPr>
                            <w:t>www.opzp.cz</w:t>
                          </w:r>
                        </w:hyperlink>
                      </w:p>
                    </w:tc>
                  </w:tr>
                  <w:tr w:rsidR="00BB224F">
                    <w:trPr>
                      <w:tblCellSpacing w:w="0" w:type="dxa"/>
                    </w:trPr>
                    <w:tc>
                      <w:tcPr>
                        <w:tcW w:w="1500" w:type="pct"/>
                        <w:tcMar>
                          <w:top w:w="0" w:type="dxa"/>
                          <w:left w:w="2250" w:type="dxa"/>
                          <w:bottom w:w="0" w:type="dxa"/>
                          <w:right w:w="375" w:type="dxa"/>
                        </w:tcMar>
                        <w:vAlign w:val="center"/>
                        <w:hideMark/>
                      </w:tcPr>
                      <w:p w:rsidR="00BB224F" w:rsidRDefault="00BB224F">
                        <w:pPr>
                          <w:spacing w:line="450" w:lineRule="atLeast"/>
                          <w:rPr>
                            <w:lang w:eastAsia="en-US"/>
                          </w:rPr>
                        </w:pPr>
                        <w:r>
                          <w:rPr>
                            <w:noProof/>
                            <w:lang w:eastAsia="en-US"/>
                          </w:rPr>
                          <w:drawing>
                            <wp:inline distT="0" distB="0" distL="0" distR="0">
                              <wp:extent cx="85725" cy="114300"/>
                              <wp:effectExtent l="0" t="0" r="9525" b="0"/>
                              <wp:docPr id="2" name="Obrázek 2" descr="cid:3e34591c5fe7c4ac67304255243c7feb@swift.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3e34591c5fe7c4ac67304255243c7feb@swift.generated"/>
                                      <pic:cNvPicPr>
                                        <a:picLocks noChangeAspect="1" noChangeArrowheads="1"/>
                                      </pic:cNvPicPr>
                                    </pic:nvPicPr>
                                    <pic:blipFill>
                                      <a:blip r:embed="rId13" r:link="rId16">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p>
                    </w:tc>
                    <w:tc>
                      <w:tcPr>
                        <w:tcW w:w="0" w:type="auto"/>
                        <w:vAlign w:val="center"/>
                        <w:hideMark/>
                      </w:tcPr>
                      <w:p w:rsidR="00BB224F" w:rsidRDefault="00F634E4">
                        <w:pPr>
                          <w:spacing w:line="450" w:lineRule="atLeast"/>
                          <w:rPr>
                            <w:lang w:eastAsia="en-US"/>
                          </w:rPr>
                        </w:pPr>
                        <w:hyperlink r:id="rId17" w:anchor="newsletter_change=bGhvdHNrYUBzdGVybmJlcmsuY3o=" w:history="1">
                          <w:r w:rsidR="00BB224F">
                            <w:rPr>
                              <w:rStyle w:val="Hypertextovodkaz"/>
                              <w:rFonts w:ascii="Arial" w:hAnsi="Arial" w:cs="Arial"/>
                              <w:color w:val="FFFFFF"/>
                              <w:sz w:val="21"/>
                              <w:szCs w:val="21"/>
                              <w:lang w:eastAsia="en-US"/>
                            </w:rPr>
                            <w:t>Změnit nastavení zasílání newsletteru</w:t>
                          </w:r>
                        </w:hyperlink>
                      </w:p>
                    </w:tc>
                  </w:tr>
                  <w:tr w:rsidR="00BB224F">
                    <w:trPr>
                      <w:tblCellSpacing w:w="0" w:type="dxa"/>
                    </w:trPr>
                    <w:tc>
                      <w:tcPr>
                        <w:tcW w:w="1500" w:type="pct"/>
                        <w:tcMar>
                          <w:top w:w="0" w:type="dxa"/>
                          <w:left w:w="2250" w:type="dxa"/>
                          <w:bottom w:w="0" w:type="dxa"/>
                          <w:right w:w="375" w:type="dxa"/>
                        </w:tcMar>
                        <w:vAlign w:val="center"/>
                        <w:hideMark/>
                      </w:tcPr>
                      <w:p w:rsidR="00BB224F" w:rsidRDefault="00BB224F">
                        <w:pPr>
                          <w:spacing w:line="450" w:lineRule="atLeast"/>
                          <w:rPr>
                            <w:lang w:eastAsia="en-US"/>
                          </w:rPr>
                        </w:pPr>
                        <w:r>
                          <w:rPr>
                            <w:noProof/>
                            <w:lang w:eastAsia="en-US"/>
                          </w:rPr>
                          <w:drawing>
                            <wp:inline distT="0" distB="0" distL="0" distR="0">
                              <wp:extent cx="85725" cy="114300"/>
                              <wp:effectExtent l="0" t="0" r="9525" b="0"/>
                              <wp:docPr id="1" name="Obrázek 1" descr="cid:ba5d3559fa72d65eddc8b733a4232a59@swift.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ba5d3559fa72d65eddc8b733a4232a59@swift.generated"/>
                                      <pic:cNvPicPr>
                                        <a:picLocks noChangeAspect="1" noChangeArrowheads="1"/>
                                      </pic:cNvPicPr>
                                    </pic:nvPicPr>
                                    <pic:blipFill>
                                      <a:blip r:embed="rId13" r:link="rId18">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p>
                    </w:tc>
                    <w:tc>
                      <w:tcPr>
                        <w:tcW w:w="0" w:type="auto"/>
                        <w:vAlign w:val="center"/>
                        <w:hideMark/>
                      </w:tcPr>
                      <w:p w:rsidR="00BB224F" w:rsidRDefault="00F634E4">
                        <w:pPr>
                          <w:spacing w:line="450" w:lineRule="atLeast"/>
                          <w:rPr>
                            <w:lang w:eastAsia="en-US"/>
                          </w:rPr>
                        </w:pPr>
                        <w:hyperlink r:id="rId19" w:anchor="newsletter_unsubscribe=bGhvdHNrYUBzdGVybmJlcmsuY3o=" w:history="1">
                          <w:r w:rsidR="00BB224F">
                            <w:rPr>
                              <w:rStyle w:val="Hypertextovodkaz"/>
                              <w:rFonts w:ascii="Arial" w:hAnsi="Arial" w:cs="Arial"/>
                              <w:color w:val="FFFFFF"/>
                              <w:sz w:val="21"/>
                              <w:szCs w:val="21"/>
                              <w:lang w:eastAsia="en-US"/>
                            </w:rPr>
                            <w:t>Zrušit zasílání newsletteru</w:t>
                          </w:r>
                        </w:hyperlink>
                      </w:p>
                    </w:tc>
                  </w:tr>
                  <w:tr w:rsidR="00BB224F">
                    <w:trPr>
                      <w:tblCellSpacing w:w="0" w:type="dxa"/>
                    </w:trPr>
                    <w:tc>
                      <w:tcPr>
                        <w:tcW w:w="0" w:type="auto"/>
                        <w:gridSpan w:val="2"/>
                        <w:tcMar>
                          <w:top w:w="300" w:type="dxa"/>
                          <w:left w:w="225" w:type="dxa"/>
                          <w:bottom w:w="300" w:type="dxa"/>
                          <w:right w:w="225" w:type="dxa"/>
                        </w:tcMar>
                        <w:vAlign w:val="center"/>
                        <w:hideMark/>
                      </w:tcPr>
                      <w:p w:rsidR="00BB224F" w:rsidRDefault="00F634E4">
                        <w:pPr>
                          <w:jc w:val="center"/>
                          <w:rPr>
                            <w:lang w:eastAsia="en-US"/>
                          </w:rPr>
                        </w:pPr>
                        <w:r>
                          <w:rPr>
                            <w:lang w:eastAsia="en-US"/>
                          </w:rPr>
                          <w:pict>
                            <v:rect id="_x0000_i1028" style="width:453.6pt;height:1.5pt" o:hralign="center" o:hrstd="t" o:hrnoshade="t" o:hr="t" fillcolor="#a6a7b0" stroked="f"/>
                          </w:pict>
                        </w:r>
                      </w:p>
                    </w:tc>
                  </w:tr>
                  <w:tr w:rsidR="00BB224F">
                    <w:trPr>
                      <w:tblCellSpacing w:w="0" w:type="dxa"/>
                    </w:trPr>
                    <w:tc>
                      <w:tcPr>
                        <w:tcW w:w="0" w:type="auto"/>
                        <w:gridSpan w:val="2"/>
                        <w:tcMar>
                          <w:top w:w="0" w:type="dxa"/>
                          <w:left w:w="0" w:type="dxa"/>
                          <w:bottom w:w="75" w:type="dxa"/>
                          <w:right w:w="0" w:type="dxa"/>
                        </w:tcMar>
                        <w:vAlign w:val="center"/>
                        <w:hideMark/>
                      </w:tcPr>
                      <w:p w:rsidR="00BB224F" w:rsidRDefault="00BB224F">
                        <w:pPr>
                          <w:jc w:val="center"/>
                          <w:rPr>
                            <w:rFonts w:ascii="Arial" w:hAnsi="Arial" w:cs="Arial"/>
                            <w:color w:val="A6A7B0"/>
                            <w:sz w:val="18"/>
                            <w:szCs w:val="18"/>
                            <w:lang w:eastAsia="en-US"/>
                          </w:rPr>
                        </w:pPr>
                        <w:r>
                          <w:rPr>
                            <w:rFonts w:ascii="Arial" w:hAnsi="Arial" w:cs="Arial"/>
                            <w:color w:val="A6A7B0"/>
                            <w:sz w:val="18"/>
                            <w:szCs w:val="18"/>
                            <w:lang w:eastAsia="en-US"/>
                          </w:rPr>
                          <w:t xml:space="preserve">Copyright 2015 </w:t>
                        </w:r>
                        <w:hyperlink r:id="rId20" w:tgtFrame="_blank" w:history="1">
                          <w:r>
                            <w:rPr>
                              <w:rStyle w:val="Hypertextovodkaz"/>
                              <w:rFonts w:ascii="Arial" w:hAnsi="Arial" w:cs="Arial"/>
                              <w:color w:val="FFFFFF"/>
                              <w:sz w:val="18"/>
                              <w:szCs w:val="18"/>
                              <w:lang w:eastAsia="en-US"/>
                            </w:rPr>
                            <w:t>Státní fond životního prostředí ČR</w:t>
                          </w:r>
                        </w:hyperlink>
                        <w:r>
                          <w:rPr>
                            <w:rFonts w:ascii="Arial" w:hAnsi="Arial" w:cs="Arial"/>
                            <w:color w:val="A6A7B0"/>
                            <w:sz w:val="18"/>
                            <w:szCs w:val="18"/>
                            <w:lang w:eastAsia="en-US"/>
                          </w:rPr>
                          <w:t xml:space="preserve"> </w:t>
                        </w:r>
                      </w:p>
                    </w:tc>
                  </w:tr>
                  <w:tr w:rsidR="00BB224F">
                    <w:trPr>
                      <w:tblCellSpacing w:w="0" w:type="dxa"/>
                    </w:trPr>
                    <w:tc>
                      <w:tcPr>
                        <w:tcW w:w="0" w:type="auto"/>
                        <w:gridSpan w:val="2"/>
                        <w:vAlign w:val="center"/>
                        <w:hideMark/>
                      </w:tcPr>
                      <w:p w:rsidR="00BB224F" w:rsidRDefault="00BB224F">
                        <w:pPr>
                          <w:jc w:val="center"/>
                          <w:rPr>
                            <w:rFonts w:ascii="Arial" w:hAnsi="Arial" w:cs="Arial"/>
                            <w:color w:val="A6A7B0"/>
                            <w:sz w:val="18"/>
                            <w:szCs w:val="18"/>
                            <w:lang w:eastAsia="en-US"/>
                          </w:rPr>
                        </w:pPr>
                        <w:r>
                          <w:rPr>
                            <w:rFonts w:ascii="Arial" w:hAnsi="Arial" w:cs="Arial"/>
                            <w:color w:val="A6A7B0"/>
                            <w:sz w:val="18"/>
                            <w:szCs w:val="18"/>
                            <w:lang w:eastAsia="en-US"/>
                          </w:rPr>
                          <w:t>Všechna práva vyhrazena</w:t>
                        </w:r>
                      </w:p>
                    </w:tc>
                  </w:tr>
                </w:tbl>
                <w:p w:rsidR="00BB224F" w:rsidRDefault="00BB224F">
                  <w:pPr>
                    <w:rPr>
                      <w:rFonts w:asciiTheme="minorHAnsi" w:hAnsiTheme="minorHAnsi" w:cstheme="minorBidi"/>
                      <w:lang w:eastAsia="en-US"/>
                    </w:rPr>
                  </w:pPr>
                </w:p>
              </w:tc>
              <w:tc>
                <w:tcPr>
                  <w:tcW w:w="0" w:type="auto"/>
                  <w:shd w:val="clear" w:color="auto" w:fill="E1E1E1"/>
                  <w:vAlign w:val="center"/>
                  <w:hideMark/>
                </w:tcPr>
                <w:p w:rsidR="00BB224F" w:rsidRDefault="00BB224F">
                  <w:pPr>
                    <w:rPr>
                      <w:rFonts w:asciiTheme="minorHAnsi" w:hAnsiTheme="minorHAnsi" w:cstheme="minorBidi"/>
                      <w:sz w:val="20"/>
                      <w:szCs w:val="20"/>
                    </w:rPr>
                  </w:pPr>
                </w:p>
              </w:tc>
            </w:tr>
          </w:tbl>
          <w:p w:rsidR="00BB224F" w:rsidRDefault="00BB224F">
            <w:pPr>
              <w:jc w:val="center"/>
              <w:rPr>
                <w:rFonts w:asciiTheme="minorHAnsi" w:hAnsiTheme="minorHAnsi" w:cstheme="minorBidi"/>
                <w:lang w:eastAsia="en-US"/>
              </w:rPr>
            </w:pPr>
          </w:p>
        </w:tc>
      </w:tr>
    </w:tbl>
    <w:p w:rsidR="00BB224F" w:rsidRDefault="00BB224F" w:rsidP="00BB224F">
      <w:pPr>
        <w:rPr>
          <w:rFonts w:asciiTheme="minorHAnsi" w:hAnsiTheme="minorHAnsi" w:cstheme="minorBidi"/>
          <w:sz w:val="20"/>
          <w:szCs w:val="20"/>
        </w:rPr>
      </w:pPr>
    </w:p>
    <w:p w:rsidR="00371AA6" w:rsidRPr="00BB224F" w:rsidRDefault="00371AA6" w:rsidP="00BB224F"/>
    <w:sectPr w:rsidR="00371AA6" w:rsidRPr="00BB22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24F"/>
    <w:rsid w:val="00371AA6"/>
    <w:rsid w:val="005C5090"/>
    <w:rsid w:val="00BB224F"/>
    <w:rsid w:val="00F634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242F72"/>
  <w15:chartTrackingRefBased/>
  <w15:docId w15:val="{15618933-1EA7-483D-816D-96D421DD1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B224F"/>
    <w:pPr>
      <w:spacing w:after="0" w:line="240" w:lineRule="auto"/>
    </w:pPr>
    <w:rPr>
      <w:rFonts w:ascii="Calibri" w:hAnsi="Calibri" w:cs="Calibri"/>
      <w:lang w:eastAsia="cs-CZ"/>
    </w:rPr>
  </w:style>
  <w:style w:type="paragraph" w:styleId="Nadpis2">
    <w:name w:val="heading 2"/>
    <w:basedOn w:val="Normln"/>
    <w:link w:val="Nadpis2Char"/>
    <w:uiPriority w:val="9"/>
    <w:semiHidden/>
    <w:unhideWhenUsed/>
    <w:qFormat/>
    <w:rsid w:val="00BB224F"/>
    <w:pPr>
      <w:spacing w:before="100" w:beforeAutospacing="1" w:after="100" w:afterAutospacing="1"/>
      <w:outlineLvl w:val="1"/>
    </w:pPr>
    <w:rPr>
      <w:rFonts w:eastAsia="Times New Roman"/>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semiHidden/>
    <w:rsid w:val="00BB224F"/>
    <w:rPr>
      <w:rFonts w:ascii="Calibri" w:eastAsia="Times New Roman" w:hAnsi="Calibri" w:cs="Calibri"/>
      <w:b/>
      <w:bCs/>
      <w:sz w:val="36"/>
      <w:szCs w:val="36"/>
      <w:lang w:eastAsia="cs-CZ"/>
    </w:rPr>
  </w:style>
  <w:style w:type="character" w:styleId="Hypertextovodkaz">
    <w:name w:val="Hyperlink"/>
    <w:basedOn w:val="Standardnpsmoodstavce"/>
    <w:uiPriority w:val="99"/>
    <w:semiHidden/>
    <w:unhideWhenUsed/>
    <w:rsid w:val="00BB224F"/>
    <w:rPr>
      <w:color w:val="0000FF"/>
      <w:u w:val="single"/>
    </w:rPr>
  </w:style>
  <w:style w:type="paragraph" w:styleId="Normlnweb">
    <w:name w:val="Normal (Web)"/>
    <w:basedOn w:val="Normln"/>
    <w:uiPriority w:val="99"/>
    <w:semiHidden/>
    <w:unhideWhenUsed/>
    <w:rsid w:val="00BB224F"/>
    <w:pPr>
      <w:spacing w:before="100" w:beforeAutospacing="1" w:after="100" w:afterAutospacing="1"/>
    </w:pPr>
  </w:style>
  <w:style w:type="character" w:customStyle="1" w:styleId="ng-scope">
    <w:name w:val="ng-scope"/>
    <w:basedOn w:val="Standardnpsmoodstavce"/>
    <w:rsid w:val="00BB224F"/>
  </w:style>
  <w:style w:type="character" w:styleId="Sledovanodkaz">
    <w:name w:val="FollowedHyperlink"/>
    <w:basedOn w:val="Standardnpsmoodstavce"/>
    <w:uiPriority w:val="99"/>
    <w:semiHidden/>
    <w:unhideWhenUsed/>
    <w:rsid w:val="00F634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6345688">
      <w:bodyDiv w:val="1"/>
      <w:marLeft w:val="0"/>
      <w:marRight w:val="0"/>
      <w:marTop w:val="0"/>
      <w:marBottom w:val="0"/>
      <w:divBdr>
        <w:top w:val="none" w:sz="0" w:space="0" w:color="auto"/>
        <w:left w:val="none" w:sz="0" w:space="0" w:color="auto"/>
        <w:bottom w:val="none" w:sz="0" w:space="0" w:color="auto"/>
        <w:right w:val="none" w:sz="0" w:space="0" w:color="auto"/>
      </w:divBdr>
    </w:div>
    <w:div w:id="214526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tacedestovka.cz" TargetMode="External"/><Relationship Id="rId13" Type="http://schemas.openxmlformats.org/officeDocument/2006/relationships/image" Target="media/image3.png"/><Relationship Id="rId18" Type="http://schemas.openxmlformats.org/officeDocument/2006/relationships/image" Target="cid:ba5d3559fa72d65eddc8b733a4232a59@swift.generated"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cid:eff606b16b37a23b51c85ea92249f7a9@swift.generated" TargetMode="External"/><Relationship Id="rId12" Type="http://schemas.openxmlformats.org/officeDocument/2006/relationships/hyperlink" Target="http://www.opzp.cz/o-programu/aktuality-a-tiskove-zpravy/budte-pripraveni-na-sucho-reknete-si-o-destovku" TargetMode="External"/><Relationship Id="rId17" Type="http://schemas.openxmlformats.org/officeDocument/2006/relationships/hyperlink" Target="http://www.opzp.cz/" TargetMode="External"/><Relationship Id="rId2" Type="http://schemas.openxmlformats.org/officeDocument/2006/relationships/settings" Target="settings.xml"/><Relationship Id="rId16" Type="http://schemas.openxmlformats.org/officeDocument/2006/relationships/image" Target="cid:3e34591c5fe7c4ac67304255243c7feb@swift.generated" TargetMode="External"/><Relationship Id="rId20" Type="http://schemas.openxmlformats.org/officeDocument/2006/relationships/hyperlink" Target="https://www.sfzp.cz/"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sfzp.inqool.cz/wp-content/uploads/2017/11/OP%C5%BDP_Vyu%C5%BEit%C3%AD-de%C5%A1%C5%A5ov%C3%A9-vody-v-obc%C3%ADch_07-2017.pdf%20" TargetMode="External"/><Relationship Id="rId5" Type="http://schemas.openxmlformats.org/officeDocument/2006/relationships/image" Target="cid:56b030904aa3023210d5be56baf255b2@swift.generated" TargetMode="External"/><Relationship Id="rId15" Type="http://schemas.openxmlformats.org/officeDocument/2006/relationships/hyperlink" Target="http://www.opzp.cz" TargetMode="External"/><Relationship Id="rId10" Type="http://schemas.openxmlformats.org/officeDocument/2006/relationships/hyperlink" Target="http://www.opzp.cz/vyzvy/113-vyzva&#226;&#128;&#139;" TargetMode="External"/><Relationship Id="rId19" Type="http://schemas.openxmlformats.org/officeDocument/2006/relationships/hyperlink" Target="http://www.opzp.cz/" TargetMode="External"/><Relationship Id="rId4" Type="http://schemas.openxmlformats.org/officeDocument/2006/relationships/image" Target="media/image1.jpeg"/><Relationship Id="rId9" Type="http://schemas.openxmlformats.org/officeDocument/2006/relationships/hyperlink" Target="https://sfzp.inqool.cz/wp-content/uploads/2017/11/Destovka_letak_DL-07-2017_tisk_kancelar.pdf" TargetMode="External"/><Relationship Id="rId14" Type="http://schemas.openxmlformats.org/officeDocument/2006/relationships/image" Target="cid:86441619bd1d1fbfe5f67038e4a6590b@swift.generated"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3</Pages>
  <Words>901</Words>
  <Characters>5320</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Lhotská Lenka</dc:creator>
  <cp:keywords/>
  <dc:description/>
  <cp:lastModifiedBy>Lhotská Lenka</cp:lastModifiedBy>
  <cp:revision>2</cp:revision>
  <dcterms:created xsi:type="dcterms:W3CDTF">2018-05-16T11:53:00Z</dcterms:created>
  <dcterms:modified xsi:type="dcterms:W3CDTF">2018-05-16T15:04:00Z</dcterms:modified>
</cp:coreProperties>
</file>