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3A2E27" w:rsidRDefault="002031E2" w:rsidP="00B80111">
      <w:pPr>
        <w:pStyle w:val="Nzev"/>
        <w:spacing w:after="120"/>
        <w:ind w:left="2124" w:right="-284" w:hanging="2124"/>
        <w:jc w:val="left"/>
        <w:rPr>
          <w:rFonts w:cs="Arial"/>
          <w:sz w:val="32"/>
          <w:szCs w:val="32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ab/>
      </w:r>
      <w:r w:rsidRPr="00B80111">
        <w:rPr>
          <w:rFonts w:cs="Arial"/>
          <w:sz w:val="32"/>
          <w:szCs w:val="32"/>
        </w:rPr>
        <w:t xml:space="preserve">Podpora </w:t>
      </w:r>
      <w:r w:rsidR="003A2E27">
        <w:rPr>
          <w:rFonts w:cs="Arial"/>
          <w:sz w:val="32"/>
          <w:szCs w:val="32"/>
        </w:rPr>
        <w:t>prevence drogových závislostí</w:t>
      </w:r>
    </w:p>
    <w:p w:rsidR="002031E2" w:rsidRPr="002031E2" w:rsidRDefault="00B80111" w:rsidP="00B80111">
      <w:pPr>
        <w:pStyle w:val="Nzev"/>
        <w:spacing w:after="120"/>
        <w:ind w:left="2124" w:right="-284" w:hanging="2124"/>
        <w:jc w:val="left"/>
        <w:rPr>
          <w:rFonts w:cs="Arial"/>
          <w:b w:val="0"/>
          <w:sz w:val="24"/>
          <w:szCs w:val="24"/>
        </w:rPr>
      </w:pPr>
      <w:r w:rsidRPr="00B80111">
        <w:rPr>
          <w:rFonts w:cs="Arial"/>
          <w:sz w:val="32"/>
          <w:szCs w:val="32"/>
        </w:rPr>
        <w:t xml:space="preserve"> 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2D34E5" w:rsidRDefault="002031E2" w:rsidP="002D34E5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č.</w:t>
      </w:r>
      <w:r w:rsidR="002D34E5">
        <w:rPr>
          <w:rFonts w:cs="Arial"/>
          <w:b w:val="0"/>
          <w:sz w:val="22"/>
          <w:szCs w:val="22"/>
        </w:rPr>
        <w:t xml:space="preserve"> 716/24</w:t>
      </w:r>
      <w:r w:rsidRPr="000B4E4C">
        <w:rPr>
          <w:rFonts w:cs="Arial"/>
          <w:b w:val="0"/>
          <w:sz w:val="22"/>
          <w:szCs w:val="22"/>
        </w:rPr>
        <w:t xml:space="preserve"> ze dne</w:t>
      </w:r>
      <w:r w:rsidR="00B87C29">
        <w:rPr>
          <w:rFonts w:cs="Arial"/>
          <w:b w:val="0"/>
          <w:sz w:val="22"/>
          <w:szCs w:val="22"/>
        </w:rPr>
        <w:t xml:space="preserve"> </w:t>
      </w:r>
      <w:proofErr w:type="gramStart"/>
      <w:r w:rsidR="00B87C29">
        <w:rPr>
          <w:rFonts w:cs="Arial"/>
          <w:b w:val="0"/>
          <w:sz w:val="22"/>
          <w:szCs w:val="22"/>
        </w:rPr>
        <w:t>23.11.2015</w:t>
      </w:r>
      <w:proofErr w:type="gramEnd"/>
    </w:p>
    <w:p w:rsidR="00851E7E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 xml:space="preserve">odbor </w:t>
      </w:r>
      <w:r w:rsidR="00B80111">
        <w:rPr>
          <w:rFonts w:cs="Arial"/>
          <w:b w:val="0"/>
          <w:sz w:val="22"/>
          <w:szCs w:val="22"/>
        </w:rPr>
        <w:t>sociálních věcí</w:t>
      </w:r>
      <w:r w:rsidRPr="000B4E4C">
        <w:rPr>
          <w:rFonts w:cs="Arial"/>
          <w:b w:val="0"/>
          <w:sz w:val="22"/>
          <w:szCs w:val="22"/>
        </w:rPr>
        <w:t xml:space="preserve"> Městského úřadu Šternberk</w:t>
      </w:r>
    </w:p>
    <w:p w:rsidR="000B4E4C" w:rsidRPr="000B4E4C" w:rsidRDefault="00851E7E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Věcně příslušná komise: </w:t>
      </w:r>
      <w:r>
        <w:rPr>
          <w:rFonts w:cs="Arial"/>
          <w:b w:val="0"/>
          <w:sz w:val="22"/>
          <w:szCs w:val="22"/>
        </w:rPr>
        <w:tab/>
        <w:t xml:space="preserve">komise </w:t>
      </w:r>
      <w:r w:rsidR="00B80111">
        <w:rPr>
          <w:rFonts w:cs="Arial"/>
          <w:b w:val="0"/>
          <w:sz w:val="22"/>
          <w:szCs w:val="22"/>
        </w:rPr>
        <w:t>sociální a zdravotní</w:t>
      </w:r>
      <w:r w:rsidR="000B4E4C" w:rsidRPr="000B4E4C">
        <w:rPr>
          <w:rFonts w:cs="Arial"/>
          <w:b w:val="0"/>
          <w:sz w:val="22"/>
          <w:szCs w:val="22"/>
        </w:rPr>
        <w:t xml:space="preserve"> </w:t>
      </w:r>
    </w:p>
    <w:p w:rsidR="00F54FF7" w:rsidRP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775532" w:rsidRDefault="00AA1F67" w:rsidP="00775532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  <w:r w:rsidR="00775532" w:rsidRPr="00775532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5531C8" w:rsidRDefault="009C23E5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minimalizace rizik a poškození v důsledku užívání návykových látek</w:t>
      </w:r>
    </w:p>
    <w:p w:rsidR="005531C8" w:rsidRDefault="009C23E5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ochrana zdraví veřejnosti</w:t>
      </w:r>
    </w:p>
    <w:p w:rsidR="005531C8" w:rsidRDefault="009C23E5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preventivní aktivity a projekty z oblasti drogové problematiky</w:t>
      </w:r>
    </w:p>
    <w:p w:rsidR="009C23E5" w:rsidRDefault="009C23E5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medializace prevence – zvyšování informovanosti občanů, poskytování informací mládeži</w:t>
      </w:r>
    </w:p>
    <w:p w:rsidR="009C23E5" w:rsidRDefault="009C23E5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základní poradenství pro drogově závislé, rodiče a osoby blízké, které se setkávají s užíváním drog</w:t>
      </w:r>
    </w:p>
    <w:p w:rsidR="00B95CE9" w:rsidRDefault="00B95CE9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vzdělávací a prezentační činnost v oblasti prevence drogových závislostí</w:t>
      </w:r>
    </w:p>
    <w:p w:rsidR="005531C8" w:rsidRDefault="005531C8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87C29">
        <w:rPr>
          <w:rFonts w:ascii="Arial" w:hAnsi="Arial" w:cs="Arial"/>
          <w:sz w:val="22"/>
          <w:szCs w:val="22"/>
        </w:rPr>
        <w:t xml:space="preserve">další aktivity vycházející ze strategických dokumentů </w:t>
      </w:r>
      <w:r w:rsidR="00B80111">
        <w:rPr>
          <w:rFonts w:ascii="Arial" w:hAnsi="Arial" w:cs="Arial"/>
          <w:sz w:val="22"/>
          <w:szCs w:val="22"/>
        </w:rPr>
        <w:t xml:space="preserve">města Šternberka v oblasti </w:t>
      </w:r>
      <w:r w:rsidR="00B95CE9">
        <w:rPr>
          <w:rFonts w:ascii="Arial" w:hAnsi="Arial" w:cs="Arial"/>
          <w:sz w:val="22"/>
          <w:szCs w:val="22"/>
        </w:rPr>
        <w:t>prevence drogových závislostí</w:t>
      </w:r>
      <w:r w:rsidR="00091D49">
        <w:rPr>
          <w:rFonts w:ascii="Arial" w:hAnsi="Arial" w:cs="Arial"/>
          <w:sz w:val="22"/>
          <w:szCs w:val="22"/>
        </w:rPr>
        <w:t xml:space="preserve"> nebo Střednědobého plánu rozvoje sociálních služeb na </w:t>
      </w:r>
      <w:proofErr w:type="spellStart"/>
      <w:r w:rsidR="00091D49">
        <w:rPr>
          <w:rFonts w:ascii="Arial" w:hAnsi="Arial" w:cs="Arial"/>
          <w:sz w:val="22"/>
          <w:szCs w:val="22"/>
        </w:rPr>
        <w:t>Šternbersku</w:t>
      </w:r>
      <w:proofErr w:type="spellEnd"/>
    </w:p>
    <w:p w:rsidR="00B95CE9" w:rsidRDefault="00B95CE9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C158C1" w:rsidRPr="00775532" w:rsidRDefault="00C158C1" w:rsidP="004E476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podpora </w:t>
      </w:r>
      <w:r w:rsidR="00B95CE9">
        <w:rPr>
          <w:rFonts w:ascii="Arial" w:hAnsi="Arial" w:cs="Arial"/>
          <w:bCs/>
          <w:sz w:val="22"/>
          <w:szCs w:val="22"/>
        </w:rPr>
        <w:t xml:space="preserve">projektů </w:t>
      </w:r>
      <w:r w:rsidR="00B95CE9">
        <w:rPr>
          <w:rFonts w:ascii="Arial" w:hAnsi="Arial" w:cs="Arial"/>
          <w:sz w:val="22"/>
          <w:szCs w:val="22"/>
        </w:rPr>
        <w:t>prevence drogových závislostí</w:t>
      </w:r>
    </w:p>
    <w:p w:rsidR="00775532" w:rsidRPr="00775532" w:rsidRDefault="00775532" w:rsidP="00775532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5831D9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B95CE9">
        <w:rPr>
          <w:rFonts w:ascii="Arial" w:hAnsi="Arial" w:cs="Arial"/>
          <w:sz w:val="22"/>
          <w:szCs w:val="22"/>
        </w:rPr>
        <w:t>50</w:t>
      </w:r>
      <w:r w:rsidR="00F9330E" w:rsidRPr="00B87C29">
        <w:rPr>
          <w:rFonts w:ascii="Arial" w:hAnsi="Arial" w:cs="Arial"/>
          <w:sz w:val="22"/>
          <w:szCs w:val="22"/>
        </w:rPr>
        <w:t xml:space="preserve">.000 </w:t>
      </w:r>
      <w:r w:rsidR="000B4E4C" w:rsidRPr="000B4E4C">
        <w:rPr>
          <w:rFonts w:ascii="Arial" w:hAnsi="Arial" w:cs="Arial"/>
          <w:sz w:val="22"/>
          <w:szCs w:val="22"/>
        </w:rPr>
        <w:t>Kč</w:t>
      </w:r>
      <w:r w:rsidR="00091D49">
        <w:rPr>
          <w:rFonts w:ascii="Arial" w:hAnsi="Arial" w:cs="Arial"/>
          <w:sz w:val="22"/>
          <w:szCs w:val="22"/>
        </w:rPr>
        <w:t xml:space="preserve"> a </w:t>
      </w:r>
      <w:r w:rsidR="005831D9" w:rsidRPr="000B4E4C">
        <w:rPr>
          <w:rFonts w:ascii="Arial" w:hAnsi="Arial" w:cs="Arial"/>
          <w:sz w:val="22"/>
          <w:szCs w:val="22"/>
        </w:rPr>
        <w:t>je limitován objemem finančních prostředků, který je vyčleněn na stanovený účel ve schváleném rozpočtu města Šternberka na daný rok.</w:t>
      </w:r>
    </w:p>
    <w:p w:rsidR="002031E2" w:rsidRDefault="002031E2"/>
    <w:p w:rsidR="00F9330E" w:rsidRDefault="00F9330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="00E2371E">
        <w:rPr>
          <w:rFonts w:ascii="Arial" w:hAnsi="Arial" w:cs="Arial"/>
          <w:sz w:val="22"/>
          <w:szCs w:val="22"/>
        </w:rPr>
        <w:t xml:space="preserve">realizující </w:t>
      </w:r>
      <w:r w:rsidR="00442AF4">
        <w:rPr>
          <w:rFonts w:ascii="Arial" w:hAnsi="Arial" w:cs="Arial"/>
          <w:sz w:val="22"/>
          <w:szCs w:val="22"/>
        </w:rPr>
        <w:t>sociální služby</w:t>
      </w:r>
      <w:r w:rsidR="00D47861">
        <w:rPr>
          <w:rFonts w:ascii="Arial" w:hAnsi="Arial" w:cs="Arial"/>
          <w:sz w:val="22"/>
          <w:szCs w:val="22"/>
        </w:rPr>
        <w:t xml:space="preserve"> na území města Šternberka</w:t>
      </w:r>
      <w:r w:rsidR="00135D30"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může podat </w:t>
      </w:r>
      <w:r w:rsidR="00442AF4">
        <w:rPr>
          <w:rFonts w:ascii="Arial" w:hAnsi="Arial" w:cs="Arial"/>
          <w:sz w:val="22"/>
          <w:szCs w:val="22"/>
        </w:rPr>
        <w:t>více</w:t>
      </w:r>
      <w:r>
        <w:rPr>
          <w:rFonts w:ascii="Arial" w:hAnsi="Arial" w:cs="Arial"/>
          <w:sz w:val="22"/>
          <w:szCs w:val="22"/>
        </w:rPr>
        <w:t xml:space="preserve"> žádost</w:t>
      </w:r>
      <w:r w:rsidR="00442AF4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B87C29">
        <w:rPr>
          <w:rFonts w:ascii="Arial" w:hAnsi="Arial" w:cs="Arial"/>
          <w:sz w:val="22"/>
          <w:szCs w:val="22"/>
        </w:rPr>
        <w:t>;</w:t>
      </w:r>
    </w:p>
    <w:p w:rsidR="00F9330E" w:rsidRPr="002D34E5" w:rsidRDefault="00B74DAD" w:rsidP="002D34E5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B87C29">
        <w:rPr>
          <w:rFonts w:ascii="Arial" w:hAnsi="Arial" w:cs="Arial"/>
          <w:sz w:val="22"/>
          <w:szCs w:val="22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 w:colFirst="0" w:colLast="0"/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  <w:bookmarkEnd w:id="0"/>
    </w:tbl>
    <w:p w:rsidR="002031E2" w:rsidRDefault="002031E2"/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B87C2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87C29">
        <w:rPr>
          <w:rFonts w:ascii="Arial" w:hAnsi="Arial" w:cs="Arial"/>
          <w:sz w:val="22"/>
          <w:szCs w:val="22"/>
        </w:rPr>
        <w:t>2</w:t>
      </w:r>
      <w:r w:rsidR="002D34E5">
        <w:rPr>
          <w:rFonts w:ascii="Arial" w:hAnsi="Arial" w:cs="Arial"/>
          <w:sz w:val="22"/>
          <w:szCs w:val="22"/>
        </w:rPr>
        <w:t>5</w:t>
      </w:r>
      <w:r w:rsidR="00B87C29">
        <w:rPr>
          <w:rFonts w:ascii="Arial" w:hAnsi="Arial" w:cs="Arial"/>
          <w:sz w:val="22"/>
          <w:szCs w:val="22"/>
        </w:rPr>
        <w:t>.11.2015</w:t>
      </w:r>
      <w:proofErr w:type="gramEnd"/>
      <w:r w:rsidRPr="000B4E4C">
        <w:rPr>
          <w:rFonts w:ascii="Arial" w:hAnsi="Arial" w:cs="Arial"/>
          <w:sz w:val="22"/>
          <w:szCs w:val="22"/>
        </w:rPr>
        <w:t xml:space="preserve"> do</w:t>
      </w:r>
      <w:r w:rsidR="00B87C29">
        <w:rPr>
          <w:rFonts w:ascii="Arial" w:hAnsi="Arial" w:cs="Arial"/>
          <w:sz w:val="22"/>
          <w:szCs w:val="22"/>
        </w:rPr>
        <w:t xml:space="preserve"> 29.02.2016.</w:t>
      </w:r>
    </w:p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E24BF1" w:rsidRDefault="00AA1F67" w:rsidP="00AA1F67">
      <w:pPr>
        <w:jc w:val="both"/>
        <w:rPr>
          <w:rFonts w:ascii="Arial" w:hAnsi="Arial" w:cs="Arial"/>
          <w:b/>
          <w:sz w:val="22"/>
          <w:szCs w:val="22"/>
        </w:rPr>
      </w:pPr>
      <w:r w:rsidRPr="00E24BF1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E24BF1" w:rsidRPr="00E24BF1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E24BF1" w:rsidRPr="00E24BF1">
        <w:rPr>
          <w:rFonts w:ascii="Arial" w:hAnsi="Arial" w:cs="Arial"/>
          <w:b/>
          <w:sz w:val="22"/>
          <w:szCs w:val="22"/>
        </w:rPr>
        <w:t>04.01.2016</w:t>
      </w:r>
      <w:proofErr w:type="gramEnd"/>
      <w:r w:rsidRPr="00E24BF1">
        <w:rPr>
          <w:rFonts w:ascii="Arial" w:hAnsi="Arial" w:cs="Arial"/>
          <w:b/>
          <w:sz w:val="22"/>
          <w:szCs w:val="22"/>
        </w:rPr>
        <w:t xml:space="preserve"> do</w:t>
      </w:r>
      <w:r w:rsidR="00E24BF1" w:rsidRPr="00E24BF1">
        <w:rPr>
          <w:rFonts w:ascii="Arial" w:hAnsi="Arial" w:cs="Arial"/>
          <w:b/>
          <w:sz w:val="22"/>
          <w:szCs w:val="22"/>
        </w:rPr>
        <w:t xml:space="preserve"> 15.01.2016.</w:t>
      </w:r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51E7E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8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851E7E">
        <w:rPr>
          <w:rFonts w:ascii="Arial" w:hAnsi="Arial" w:cs="Arial"/>
          <w:sz w:val="22"/>
          <w:szCs w:val="22"/>
        </w:rPr>
        <w:t>u administrátora programu.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EC70C8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</w:t>
      </w:r>
      <w:r w:rsidR="00E24BF1">
        <w:rPr>
          <w:rFonts w:ascii="Arial" w:hAnsi="Arial" w:cs="Arial"/>
          <w:sz w:val="22"/>
          <w:szCs w:val="22"/>
        </w:rPr>
        <w:t xml:space="preserve">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3F0907" w:rsidP="00AA1F67">
      <w:pPr>
        <w:jc w:val="both"/>
        <w:rPr>
          <w:rFonts w:ascii="Arial" w:hAnsi="Arial" w:cs="Arial"/>
          <w:i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Lhůta pro rozhodnutí o žádosti je</w:t>
      </w:r>
      <w:r w:rsidR="00AA1F67" w:rsidRPr="000B4E4C">
        <w:rPr>
          <w:rFonts w:ascii="Arial" w:hAnsi="Arial" w:cs="Arial"/>
          <w:sz w:val="22"/>
          <w:szCs w:val="22"/>
        </w:rPr>
        <w:t xml:space="preserve"> do</w:t>
      </w:r>
      <w:r w:rsidR="00E24BF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24BF1">
        <w:rPr>
          <w:rFonts w:ascii="Arial" w:hAnsi="Arial" w:cs="Arial"/>
          <w:sz w:val="22"/>
          <w:szCs w:val="22"/>
        </w:rPr>
        <w:t>29.02.2016</w:t>
      </w:r>
      <w:proofErr w:type="gramEnd"/>
      <w:r w:rsidR="00E24BF1">
        <w:rPr>
          <w:rFonts w:ascii="Arial" w:hAnsi="Arial" w:cs="Arial"/>
          <w:sz w:val="22"/>
          <w:szCs w:val="22"/>
        </w:rPr>
        <w:t>.</w:t>
      </w:r>
    </w:p>
    <w:p w:rsidR="00F9330E" w:rsidRPr="000B4E4C" w:rsidRDefault="00F9330E" w:rsidP="00AA1F67">
      <w:pPr>
        <w:jc w:val="both"/>
        <w:rPr>
          <w:rFonts w:ascii="Arial" w:hAnsi="Arial" w:cs="Arial"/>
          <w:i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3B3289">
        <w:rPr>
          <w:rFonts w:ascii="Arial" w:hAnsi="Arial" w:cs="Arial"/>
          <w:sz w:val="22"/>
          <w:szCs w:val="22"/>
        </w:rPr>
        <w:t>V případě, že žádost bude neúplná, vyzve administrátor e-mailem</w:t>
      </w:r>
      <w:r w:rsidR="008308B7">
        <w:rPr>
          <w:rFonts w:ascii="Arial" w:hAnsi="Arial" w:cs="Arial"/>
          <w:sz w:val="22"/>
          <w:szCs w:val="22"/>
        </w:rPr>
        <w:t xml:space="preserve"> na adresu uvedenou žadatelem v žádosti</w:t>
      </w:r>
      <w:r w:rsidR="003B3289">
        <w:rPr>
          <w:rFonts w:ascii="Arial" w:hAnsi="Arial" w:cs="Arial"/>
          <w:sz w:val="22"/>
          <w:szCs w:val="22"/>
        </w:rPr>
        <w:t xml:space="preserve"> žadatele o doplnění; pro doplnění je stanovena lhůta 5 pracovních dní.</w:t>
      </w:r>
      <w:r w:rsidR="008308B7">
        <w:rPr>
          <w:rFonts w:ascii="Arial" w:hAnsi="Arial" w:cs="Arial"/>
          <w:sz w:val="22"/>
          <w:szCs w:val="22"/>
        </w:rPr>
        <w:t xml:space="preserve"> Pokud žadatel na tuto výzvu nedoplní žádost, bude z dalšího hodnocení vyřazena.</w:t>
      </w:r>
      <w:r w:rsidR="003B3289">
        <w:rPr>
          <w:rFonts w:ascii="Arial" w:hAnsi="Arial" w:cs="Arial"/>
          <w:sz w:val="22"/>
          <w:szCs w:val="22"/>
        </w:rPr>
        <w:t xml:space="preserve">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0B4E4C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Pr="00E24BF1" w:rsidRDefault="00F137E8" w:rsidP="0005673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24BF1">
        <w:rPr>
          <w:rFonts w:ascii="Arial" w:hAnsi="Arial" w:cs="Arial"/>
          <w:color w:val="auto"/>
          <w:sz w:val="22"/>
          <w:szCs w:val="22"/>
        </w:rPr>
        <w:t>Žádost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i o dotace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 xml:space="preserve">splňující administrativní soulad 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budou hodnoceny dle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>specifických</w:t>
      </w:r>
      <w:r w:rsidRPr="00E24BF1">
        <w:rPr>
          <w:rFonts w:ascii="Arial" w:hAnsi="Arial" w:cs="Arial"/>
          <w:color w:val="auto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5440"/>
        <w:gridCol w:w="1220"/>
        <w:gridCol w:w="1140"/>
      </w:tblGrid>
      <w:tr w:rsidR="00851E7E" w:rsidRPr="00851E7E" w:rsidTr="005960F4">
        <w:trPr>
          <w:trHeight w:val="510"/>
        </w:trPr>
        <w:tc>
          <w:tcPr>
            <w:tcW w:w="6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851E7E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851E7E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působnost žadatele 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960F4">
        <w:trPr>
          <w:trHeight w:val="43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8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51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lastRenderedPageBreak/>
              <w:t>přínos a komunitní práce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potřebnost a očekávaný přínos pro město</w:t>
            </w:r>
            <w:r w:rsidR="00E24BF1">
              <w:rPr>
                <w:rFonts w:ascii="Arial" w:hAnsi="Arial" w:cs="Arial"/>
                <w:color w:val="000000"/>
              </w:rPr>
              <w:t>, míra návaznosti na strategické dokumenty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442AF4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851E7E"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6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75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velikost cílové skupiny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do 20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C046E" w:rsidP="005C046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851E7E" w:rsidRPr="00851E7E" w:rsidTr="005960F4">
        <w:trPr>
          <w:trHeight w:val="3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20 - 50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C046E" w:rsidP="00851E7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nad 50 účastníků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C046E" w:rsidP="005C046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5960F4" w:rsidP="00C35E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registrovaná sociální služba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7E" w:rsidRPr="00851E7E" w:rsidRDefault="005960F4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960F4" w:rsidP="008F29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8F29C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960F4">
        <w:trPr>
          <w:trHeight w:val="45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7E" w:rsidRPr="00851E7E" w:rsidRDefault="005960F4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5960F4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0 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5960F4">
        <w:trPr>
          <w:trHeight w:val="45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29CD" w:rsidRPr="00851E7E" w:rsidRDefault="008F29CD" w:rsidP="005960F4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návaznost projektu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nenavazuje na předchozí činnost žadatele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8F29CD" w:rsidP="000E55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F29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F29CD" w:rsidRPr="00851E7E" w:rsidTr="00967FB5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navazuje na předchozí činnost žadatele (max. 1 rok)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8F29CD" w:rsidP="000E554A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967FB5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Pr="00851E7E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navazuje na předchozí činnost žadatele (více let)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8F29CD" w:rsidP="000E55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5960F4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Návaznost projektu je smysluplná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Default="002E687D" w:rsidP="000E55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2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851E7E" w:rsidRPr="00851E7E" w:rsidTr="005960F4">
        <w:trPr>
          <w:trHeight w:val="52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přiměřenost rozpočtu vzhledem k cílům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9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požadovaná dotace ve výši 0 </w:t>
            </w:r>
            <w:r w:rsidR="00F9330E">
              <w:rPr>
                <w:rFonts w:ascii="Arial" w:hAnsi="Arial" w:cs="Arial"/>
                <w:color w:val="000000"/>
              </w:rPr>
              <w:t>–</w:t>
            </w:r>
            <w:r w:rsidRPr="00851E7E">
              <w:rPr>
                <w:rFonts w:ascii="Arial" w:hAnsi="Arial" w:cs="Arial"/>
                <w:color w:val="000000"/>
              </w:rPr>
              <w:t xml:space="preserve"> </w:t>
            </w:r>
            <w:r w:rsidR="00F9330E">
              <w:rPr>
                <w:rFonts w:ascii="Arial" w:hAnsi="Arial" w:cs="Arial"/>
                <w:color w:val="000000"/>
              </w:rPr>
              <w:t xml:space="preserve">30 </w:t>
            </w:r>
            <w:r w:rsidRPr="00851E7E">
              <w:rPr>
                <w:rFonts w:ascii="Arial" w:hAnsi="Arial" w:cs="Arial"/>
                <w:color w:val="000000"/>
              </w:rPr>
              <w:t xml:space="preserve">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37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</w:t>
            </w:r>
            <w:r w:rsidR="00F9330E">
              <w:rPr>
                <w:rFonts w:ascii="Arial" w:hAnsi="Arial" w:cs="Arial"/>
                <w:color w:val="000000"/>
              </w:rPr>
              <w:t>ýši 30,1- 40%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9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vý</w:t>
            </w:r>
            <w:r w:rsidR="00F9330E">
              <w:rPr>
                <w:rFonts w:ascii="Arial" w:hAnsi="Arial" w:cs="Arial"/>
                <w:color w:val="000000"/>
              </w:rPr>
              <w:t>ši 40,1 - 50%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7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9330E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/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851E7E">
        <w:rPr>
          <w:rFonts w:ascii="Arial" w:hAnsi="Arial" w:cs="Arial"/>
          <w:sz w:val="22"/>
          <w:szCs w:val="22"/>
        </w:rPr>
        <w:t xml:space="preserve">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uznatelné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materiálu</w:t>
      </w:r>
      <w:r w:rsidR="00E24BF1">
        <w:rPr>
          <w:rFonts w:ascii="Arial" w:hAnsi="Arial" w:cs="Arial"/>
          <w:sz w:val="22"/>
          <w:szCs w:val="22"/>
        </w:rPr>
        <w:t>;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služeb</w:t>
      </w:r>
      <w:r w:rsidR="00E24BF1">
        <w:rPr>
          <w:rFonts w:ascii="Arial" w:hAnsi="Arial" w:cs="Arial"/>
          <w:sz w:val="22"/>
          <w:szCs w:val="22"/>
        </w:rPr>
        <w:t>;</w:t>
      </w:r>
    </w:p>
    <w:p w:rsidR="00F2252B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 w:rsidR="0058796D">
        <w:rPr>
          <w:rFonts w:ascii="Arial" w:hAnsi="Arial" w:cs="Arial"/>
          <w:sz w:val="22"/>
          <w:szCs w:val="22"/>
        </w:rPr>
        <w:t xml:space="preserve">prostor </w:t>
      </w:r>
      <w:r w:rsidR="00091D49">
        <w:rPr>
          <w:rFonts w:ascii="Arial" w:hAnsi="Arial" w:cs="Arial"/>
          <w:sz w:val="22"/>
          <w:szCs w:val="22"/>
        </w:rPr>
        <w:t>na zajištění aktivit</w:t>
      </w:r>
      <w:r w:rsidR="0058796D">
        <w:rPr>
          <w:rFonts w:ascii="Arial" w:hAnsi="Arial" w:cs="Arial"/>
          <w:sz w:val="22"/>
          <w:szCs w:val="22"/>
        </w:rPr>
        <w:t>, které jsou předmětem žádosti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B95CE9" w:rsidRDefault="00B95CE9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cestovné</w:t>
      </w:r>
    </w:p>
    <w:p w:rsidR="00B95CE9" w:rsidRDefault="00B95CE9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vzdělávání a supervize</w:t>
      </w:r>
    </w:p>
    <w:p w:rsidR="008F29CD" w:rsidRDefault="008F29CD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drobného hmotného majetku nezbytného k realizaci projektu</w:t>
      </w:r>
    </w:p>
    <w:p w:rsidR="00D242A6" w:rsidRPr="00DC6833" w:rsidRDefault="00D242A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DPP na zajištění aktivit, které jsou předmětem žádostí</w:t>
      </w:r>
      <w:r w:rsidR="00091D49">
        <w:rPr>
          <w:rFonts w:ascii="Arial" w:hAnsi="Arial" w:cs="Arial"/>
          <w:sz w:val="22"/>
          <w:szCs w:val="22"/>
        </w:rPr>
        <w:t>, max. do výše 20% přiznané dotace</w:t>
      </w:r>
    </w:p>
    <w:p w:rsidR="00F64C96" w:rsidRPr="00DC6833" w:rsidRDefault="00F64C9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honoráře vč. poplatků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E24BF1">
        <w:rPr>
          <w:rFonts w:ascii="Arial" w:hAnsi="Arial" w:cs="Arial"/>
          <w:sz w:val="22"/>
          <w:szCs w:val="22"/>
        </w:rPr>
        <w:t>;</w:t>
      </w:r>
    </w:p>
    <w:p w:rsidR="007C0541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zajištění </w:t>
      </w:r>
      <w:r w:rsidR="0058796D">
        <w:rPr>
          <w:rFonts w:ascii="Arial" w:hAnsi="Arial" w:cs="Arial"/>
          <w:sz w:val="22"/>
          <w:szCs w:val="22"/>
        </w:rPr>
        <w:t>aktivity</w:t>
      </w:r>
      <w:r w:rsidRPr="00DC6833">
        <w:rPr>
          <w:rFonts w:ascii="Arial" w:hAnsi="Arial" w:cs="Arial"/>
          <w:sz w:val="22"/>
          <w:szCs w:val="22"/>
        </w:rPr>
        <w:t>;</w:t>
      </w:r>
    </w:p>
    <w:p w:rsidR="00F2252B" w:rsidRPr="00DC6833" w:rsidRDefault="007C0541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 ak</w:t>
      </w:r>
      <w:r w:rsidR="0058796D">
        <w:rPr>
          <w:rFonts w:ascii="Arial" w:hAnsi="Arial" w:cs="Arial"/>
          <w:sz w:val="22"/>
          <w:szCs w:val="22"/>
        </w:rPr>
        <w:t>tivity</w:t>
      </w:r>
      <w:r>
        <w:rPr>
          <w:rFonts w:ascii="Arial" w:hAnsi="Arial" w:cs="Arial"/>
          <w:sz w:val="22"/>
          <w:szCs w:val="22"/>
        </w:rPr>
        <w:t>;</w:t>
      </w:r>
      <w:r w:rsidR="00F2252B" w:rsidRPr="00DC6833">
        <w:rPr>
          <w:rFonts w:ascii="Arial" w:hAnsi="Arial" w:cs="Arial"/>
          <w:sz w:val="22"/>
          <w:szCs w:val="22"/>
        </w:rPr>
        <w:t xml:space="preserve"> </w:t>
      </w:r>
    </w:p>
    <w:p w:rsidR="00F2252B" w:rsidRDefault="00F2252B" w:rsidP="00F2252B">
      <w:pPr>
        <w:pStyle w:val="Default"/>
        <w:rPr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n</w:t>
      </w:r>
      <w:r w:rsidR="00F2252B" w:rsidRPr="00E24BF1">
        <w:rPr>
          <w:rFonts w:ascii="Arial" w:hAnsi="Arial" w:cs="Arial"/>
          <w:b/>
          <w:bCs/>
          <w:color w:val="auto"/>
          <w:sz w:val="22"/>
          <w:szCs w:val="22"/>
        </w:rPr>
        <w:t>euznatelné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 xml:space="preserve">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  <w:r w:rsidR="008F29CD">
        <w:rPr>
          <w:rFonts w:ascii="Arial" w:hAnsi="Arial" w:cs="Arial"/>
          <w:sz w:val="22"/>
          <w:szCs w:val="22"/>
        </w:rPr>
        <w:t xml:space="preserve"> s výjimkou drobného hmotného majetku nezbytného k realizaci projektu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</w:t>
      </w:r>
      <w:r w:rsidR="00F64C96">
        <w:rPr>
          <w:rFonts w:ascii="Arial" w:hAnsi="Arial" w:cs="Arial"/>
          <w:sz w:val="22"/>
          <w:szCs w:val="22"/>
        </w:rPr>
        <w:t xml:space="preserve">odměn za </w:t>
      </w:r>
      <w:r w:rsidRPr="004105B7">
        <w:rPr>
          <w:rFonts w:ascii="Arial" w:hAnsi="Arial" w:cs="Arial"/>
          <w:sz w:val="22"/>
          <w:szCs w:val="22"/>
        </w:rPr>
        <w:t xml:space="preserve">zajištění </w:t>
      </w:r>
      <w:r w:rsidR="008F29CD">
        <w:rPr>
          <w:rFonts w:ascii="Arial" w:hAnsi="Arial" w:cs="Arial"/>
          <w:sz w:val="22"/>
          <w:szCs w:val="22"/>
        </w:rPr>
        <w:t>aktivit, které jsou předmětem žádosti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Default="006F0FAC" w:rsidP="006F0FAC">
      <w:pPr>
        <w:pStyle w:val="Default"/>
      </w:pPr>
    </w:p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povinnosti: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</w:t>
      </w:r>
      <w:r w:rsidR="00E24BF1">
        <w:rPr>
          <w:rFonts w:ascii="Arial" w:hAnsi="Arial" w:cs="Arial"/>
          <w:sz w:val="22"/>
          <w:szCs w:val="22"/>
        </w:rPr>
        <w:t>ů uvedených v žádosti o dotaci.</w:t>
      </w:r>
    </w:p>
    <w:p w:rsidR="00C32494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  <w:r w:rsidR="00E24BF1">
        <w:rPr>
          <w:rFonts w:ascii="Arial" w:hAnsi="Arial" w:cs="Arial"/>
          <w:sz w:val="22"/>
          <w:szCs w:val="22"/>
        </w:rPr>
        <w:t>.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C32494">
      <w:pPr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</w:t>
      </w:r>
      <w:r w:rsidR="008F29CD">
        <w:rPr>
          <w:rFonts w:ascii="Arial" w:hAnsi="Arial" w:cs="Arial"/>
          <w:sz w:val="22"/>
          <w:szCs w:val="22"/>
        </w:rPr>
        <w:t>sociálních věcí</w:t>
      </w:r>
      <w:r>
        <w:rPr>
          <w:rFonts w:ascii="Arial" w:hAnsi="Arial" w:cs="Arial"/>
          <w:sz w:val="22"/>
          <w:szCs w:val="22"/>
        </w:rPr>
        <w:t xml:space="preserve">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8F29CD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5</w:t>
      </w:r>
      <w:r w:rsidR="00375959">
        <w:rPr>
          <w:rFonts w:ascii="Arial" w:hAnsi="Arial" w:cs="Arial"/>
          <w:sz w:val="22"/>
          <w:szCs w:val="22"/>
        </w:rPr>
        <w:t xml:space="preserve">27, e-mail: </w:t>
      </w:r>
      <w:r>
        <w:rPr>
          <w:rFonts w:ascii="Arial" w:hAnsi="Arial" w:cs="Arial"/>
          <w:sz w:val="22"/>
          <w:szCs w:val="22"/>
        </w:rPr>
        <w:t>zajacova</w:t>
      </w:r>
      <w:r w:rsidR="00375959">
        <w:rPr>
          <w:rFonts w:ascii="Arial" w:hAnsi="Arial" w:cs="Arial"/>
          <w:sz w:val="22"/>
          <w:szCs w:val="22"/>
        </w:rPr>
        <w:t>@sternberk.cz</w:t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941DB1" w:rsidRDefault="00941DB1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AA1F67" w:rsidRPr="00475037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475037">
        <w:rPr>
          <w:rFonts w:ascii="Arial" w:hAnsi="Arial" w:cs="Arial"/>
          <w:sz w:val="22"/>
          <w:szCs w:val="22"/>
        </w:rPr>
        <w:t>Formulář žádosti</w:t>
      </w:r>
      <w:r w:rsidR="000B4E4C" w:rsidRPr="00475037">
        <w:rPr>
          <w:rFonts w:ascii="Arial" w:hAnsi="Arial" w:cs="Arial"/>
          <w:sz w:val="22"/>
          <w:szCs w:val="22"/>
        </w:rPr>
        <w:t>.</w:t>
      </w:r>
    </w:p>
    <w:p w:rsidR="00F2252B" w:rsidRDefault="00F2252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1E7288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sectPr w:rsidR="001E7288" w:rsidSect="005C12FE">
      <w:footerReference w:type="even" r:id="rId9"/>
      <w:footerReference w:type="default" r:id="rId10"/>
      <w:headerReference w:type="first" r:id="rId11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38C" w:rsidRDefault="0037338C" w:rsidP="00717509">
      <w:r>
        <w:separator/>
      </w:r>
    </w:p>
  </w:endnote>
  <w:endnote w:type="continuationSeparator" w:id="0">
    <w:p w:rsidR="0037338C" w:rsidRDefault="0037338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2D34E5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38C" w:rsidRDefault="0037338C" w:rsidP="00717509">
      <w:r>
        <w:separator/>
      </w:r>
    </w:p>
  </w:footnote>
  <w:footnote w:type="continuationSeparator" w:id="0">
    <w:p w:rsidR="0037338C" w:rsidRDefault="0037338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2016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5D7F70"/>
    <w:multiLevelType w:val="hybridMultilevel"/>
    <w:tmpl w:val="9462F724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6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7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6"/>
  </w:num>
  <w:num w:numId="5">
    <w:abstractNumId w:val="18"/>
  </w:num>
  <w:num w:numId="6">
    <w:abstractNumId w:val="7"/>
  </w:num>
  <w:num w:numId="7">
    <w:abstractNumId w:val="1"/>
  </w:num>
  <w:num w:numId="8">
    <w:abstractNumId w:val="13"/>
  </w:num>
  <w:num w:numId="9">
    <w:abstractNumId w:val="17"/>
  </w:num>
  <w:num w:numId="10">
    <w:abstractNumId w:val="4"/>
  </w:num>
  <w:num w:numId="11">
    <w:abstractNumId w:val="15"/>
  </w:num>
  <w:num w:numId="12">
    <w:abstractNumId w:val="3"/>
  </w:num>
  <w:num w:numId="13">
    <w:abstractNumId w:val="16"/>
  </w:num>
  <w:num w:numId="14">
    <w:abstractNumId w:val="10"/>
  </w:num>
  <w:num w:numId="15">
    <w:abstractNumId w:val="12"/>
  </w:num>
  <w:num w:numId="16">
    <w:abstractNumId w:val="19"/>
  </w:num>
  <w:num w:numId="17">
    <w:abstractNumId w:val="11"/>
  </w:num>
  <w:num w:numId="18">
    <w:abstractNumId w:val="9"/>
  </w:num>
  <w:num w:numId="19">
    <w:abstractNumId w:val="0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6737"/>
    <w:rsid w:val="000771EC"/>
    <w:rsid w:val="00091D49"/>
    <w:rsid w:val="000A0F54"/>
    <w:rsid w:val="000B4E4C"/>
    <w:rsid w:val="000C13DF"/>
    <w:rsid w:val="00120102"/>
    <w:rsid w:val="001260C3"/>
    <w:rsid w:val="00135D30"/>
    <w:rsid w:val="00136235"/>
    <w:rsid w:val="00140D47"/>
    <w:rsid w:val="001921C3"/>
    <w:rsid w:val="001A6046"/>
    <w:rsid w:val="001D0394"/>
    <w:rsid w:val="001E7288"/>
    <w:rsid w:val="002031E2"/>
    <w:rsid w:val="002053B5"/>
    <w:rsid w:val="0021497D"/>
    <w:rsid w:val="002A1E08"/>
    <w:rsid w:val="002A48DE"/>
    <w:rsid w:val="002D34E5"/>
    <w:rsid w:val="002E687D"/>
    <w:rsid w:val="002E68DF"/>
    <w:rsid w:val="0033257D"/>
    <w:rsid w:val="003411B3"/>
    <w:rsid w:val="00355E3A"/>
    <w:rsid w:val="00357918"/>
    <w:rsid w:val="0037338C"/>
    <w:rsid w:val="00375959"/>
    <w:rsid w:val="003A2E27"/>
    <w:rsid w:val="003B009F"/>
    <w:rsid w:val="003B3289"/>
    <w:rsid w:val="003C05BC"/>
    <w:rsid w:val="003C438F"/>
    <w:rsid w:val="003D432F"/>
    <w:rsid w:val="003E424B"/>
    <w:rsid w:val="003F0907"/>
    <w:rsid w:val="0040786F"/>
    <w:rsid w:val="004105B7"/>
    <w:rsid w:val="00437FB1"/>
    <w:rsid w:val="00442AF4"/>
    <w:rsid w:val="00452D42"/>
    <w:rsid w:val="00466D0D"/>
    <w:rsid w:val="00472299"/>
    <w:rsid w:val="00475037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C3558"/>
    <w:rsid w:val="004E20C4"/>
    <w:rsid w:val="004E476E"/>
    <w:rsid w:val="004F25DA"/>
    <w:rsid w:val="00501D6D"/>
    <w:rsid w:val="005130FF"/>
    <w:rsid w:val="00516977"/>
    <w:rsid w:val="005409DD"/>
    <w:rsid w:val="0054619E"/>
    <w:rsid w:val="00546C99"/>
    <w:rsid w:val="005531C8"/>
    <w:rsid w:val="005831D9"/>
    <w:rsid w:val="0058401E"/>
    <w:rsid w:val="0058796D"/>
    <w:rsid w:val="005960F4"/>
    <w:rsid w:val="005B1613"/>
    <w:rsid w:val="005C046E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C6F1D"/>
    <w:rsid w:val="006E5F4F"/>
    <w:rsid w:val="006F0071"/>
    <w:rsid w:val="006F0FAC"/>
    <w:rsid w:val="006F36DA"/>
    <w:rsid w:val="00717509"/>
    <w:rsid w:val="00737914"/>
    <w:rsid w:val="0074640B"/>
    <w:rsid w:val="0075186B"/>
    <w:rsid w:val="0076770A"/>
    <w:rsid w:val="00770513"/>
    <w:rsid w:val="00771AC3"/>
    <w:rsid w:val="00775532"/>
    <w:rsid w:val="0078431F"/>
    <w:rsid w:val="0079509F"/>
    <w:rsid w:val="007C0541"/>
    <w:rsid w:val="00802D86"/>
    <w:rsid w:val="0082471B"/>
    <w:rsid w:val="008308B7"/>
    <w:rsid w:val="00831D9C"/>
    <w:rsid w:val="008421F1"/>
    <w:rsid w:val="00842688"/>
    <w:rsid w:val="00851E7E"/>
    <w:rsid w:val="0086793D"/>
    <w:rsid w:val="008767A6"/>
    <w:rsid w:val="00877F0F"/>
    <w:rsid w:val="00881EEC"/>
    <w:rsid w:val="00894F3F"/>
    <w:rsid w:val="008F27CB"/>
    <w:rsid w:val="008F29CD"/>
    <w:rsid w:val="0090271B"/>
    <w:rsid w:val="00903F4D"/>
    <w:rsid w:val="00926A2E"/>
    <w:rsid w:val="00941DB1"/>
    <w:rsid w:val="00942D4A"/>
    <w:rsid w:val="00955E51"/>
    <w:rsid w:val="00973EEC"/>
    <w:rsid w:val="0097672F"/>
    <w:rsid w:val="009B3215"/>
    <w:rsid w:val="009B6372"/>
    <w:rsid w:val="009C23E5"/>
    <w:rsid w:val="009D293A"/>
    <w:rsid w:val="009D5359"/>
    <w:rsid w:val="00A13AD8"/>
    <w:rsid w:val="00A358A4"/>
    <w:rsid w:val="00A50686"/>
    <w:rsid w:val="00A65B8F"/>
    <w:rsid w:val="00A70109"/>
    <w:rsid w:val="00A8241A"/>
    <w:rsid w:val="00AA1F67"/>
    <w:rsid w:val="00AE74E7"/>
    <w:rsid w:val="00B048C1"/>
    <w:rsid w:val="00B2669B"/>
    <w:rsid w:val="00B35679"/>
    <w:rsid w:val="00B4295A"/>
    <w:rsid w:val="00B50FD1"/>
    <w:rsid w:val="00B627D6"/>
    <w:rsid w:val="00B74DAD"/>
    <w:rsid w:val="00B80111"/>
    <w:rsid w:val="00B82810"/>
    <w:rsid w:val="00B86263"/>
    <w:rsid w:val="00B87C29"/>
    <w:rsid w:val="00B95CE9"/>
    <w:rsid w:val="00BC2201"/>
    <w:rsid w:val="00BD5665"/>
    <w:rsid w:val="00C014C8"/>
    <w:rsid w:val="00C14E87"/>
    <w:rsid w:val="00C158C1"/>
    <w:rsid w:val="00C26CF3"/>
    <w:rsid w:val="00C26D82"/>
    <w:rsid w:val="00C32494"/>
    <w:rsid w:val="00C35E77"/>
    <w:rsid w:val="00CA0AD5"/>
    <w:rsid w:val="00CA7A37"/>
    <w:rsid w:val="00CB5212"/>
    <w:rsid w:val="00D046C6"/>
    <w:rsid w:val="00D21189"/>
    <w:rsid w:val="00D242A6"/>
    <w:rsid w:val="00D26FE6"/>
    <w:rsid w:val="00D368B3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6833"/>
    <w:rsid w:val="00DE64BB"/>
    <w:rsid w:val="00E07A29"/>
    <w:rsid w:val="00E2371E"/>
    <w:rsid w:val="00E24BF1"/>
    <w:rsid w:val="00E76DB9"/>
    <w:rsid w:val="00EB2553"/>
    <w:rsid w:val="00EB4FF7"/>
    <w:rsid w:val="00EC70C8"/>
    <w:rsid w:val="00ED5E50"/>
    <w:rsid w:val="00EE4561"/>
    <w:rsid w:val="00F00F31"/>
    <w:rsid w:val="00F137E8"/>
    <w:rsid w:val="00F2252B"/>
    <w:rsid w:val="00F54FF7"/>
    <w:rsid w:val="00F64C96"/>
    <w:rsid w:val="00F65B4D"/>
    <w:rsid w:val="00F7659A"/>
    <w:rsid w:val="00F82A96"/>
    <w:rsid w:val="00F90555"/>
    <w:rsid w:val="00F9330E"/>
    <w:rsid w:val="00FC5929"/>
    <w:rsid w:val="00FC68A9"/>
    <w:rsid w:val="00FD6367"/>
    <w:rsid w:val="00FE6943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6A05440-8C58-4728-B3F8-FBB38373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rnberk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FD6BB-5502-450F-9AE9-AFB986CB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3</cp:revision>
  <cp:lastPrinted>2015-11-24T14:05:00Z</cp:lastPrinted>
  <dcterms:created xsi:type="dcterms:W3CDTF">2015-11-13T12:55:00Z</dcterms:created>
  <dcterms:modified xsi:type="dcterms:W3CDTF">2015-11-24T14:05:00Z</dcterms:modified>
</cp:coreProperties>
</file>