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4C1442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Žádost o povolení zvláštního užívání pozemní komunikace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57E5D" w:rsidRDefault="00157E5D" w:rsidP="00157E5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Ustanovení § 25 </w:t>
            </w:r>
            <w:proofErr w:type="spellStart"/>
            <w:proofErr w:type="gramStart"/>
            <w:r>
              <w:rPr>
                <w:rFonts w:ascii="Arial Narrow" w:hAnsi="Arial Narrow"/>
                <w:sz w:val="22"/>
                <w:szCs w:val="22"/>
              </w:rPr>
              <w:t>zák.č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13/1997 Sb., o pozemních komunikacích, ve znění pozdějších předpisů</w:t>
            </w:r>
            <w:r w:rsidR="00290FFA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161CF3" w:rsidRPr="0005559D" w:rsidRDefault="00157E5D" w:rsidP="00290FF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 užívání silnic </w:t>
            </w:r>
            <w:r w:rsidR="00290FFA">
              <w:rPr>
                <w:rFonts w:ascii="Arial Narrow" w:hAnsi="Arial Narrow"/>
                <w:sz w:val="22"/>
                <w:szCs w:val="22"/>
              </w:rPr>
              <w:t xml:space="preserve">II. a III. třídy </w:t>
            </w:r>
            <w:r>
              <w:rPr>
                <w:rFonts w:ascii="Arial Narrow" w:hAnsi="Arial Narrow"/>
                <w:sz w:val="22"/>
                <w:szCs w:val="22"/>
              </w:rPr>
              <w:t>a místních komunikací jiným než obvyklým způsobem nebo k jiným účelům, než pro které jsou určeny je třeba povolení příslušného silničního správního úřadu</w:t>
            </w:r>
            <w:r w:rsidR="00456ADA">
              <w:rPr>
                <w:rFonts w:ascii="Arial Narrow" w:hAnsi="Arial Narrow"/>
                <w:sz w:val="22"/>
                <w:szCs w:val="22"/>
              </w:rPr>
              <w:t xml:space="preserve">. Zvláštním užíváním pozemní komunikace je např. </w:t>
            </w:r>
            <w:r w:rsidR="00EC309F">
              <w:rPr>
                <w:rFonts w:ascii="Arial Narrow" w:hAnsi="Arial Narrow"/>
                <w:sz w:val="22"/>
                <w:szCs w:val="22"/>
              </w:rPr>
              <w:t xml:space="preserve">umísťování  a </w:t>
            </w:r>
            <w:r w:rsidR="00456ADA">
              <w:rPr>
                <w:rFonts w:ascii="Arial Narrow" w:hAnsi="Arial Narrow"/>
                <w:sz w:val="22"/>
                <w:szCs w:val="22"/>
              </w:rPr>
              <w:t>provozování reklamních</w:t>
            </w:r>
            <w:r w:rsidR="001B5327">
              <w:rPr>
                <w:rFonts w:ascii="Arial Narrow" w:hAnsi="Arial Narrow"/>
                <w:sz w:val="22"/>
                <w:szCs w:val="22"/>
              </w:rPr>
              <w:t xml:space="preserve"> poutačů, propagačních a jiných zařízení, světelných zdrojů, barevných ploch a jiných obdobných zařízení, umísťování, skládání a nakládání věcí nebo materiálů nesloužících k údržbě nebo opravám pozemní komunikace, </w:t>
            </w:r>
            <w:r w:rsidR="00456ADA">
              <w:rPr>
                <w:rFonts w:ascii="Arial Narrow" w:hAnsi="Arial Narrow"/>
                <w:sz w:val="22"/>
                <w:szCs w:val="22"/>
              </w:rPr>
              <w:t xml:space="preserve">provádění stavebních prací na tělese pozemní komunikace nebo na silničním pomocném pozemku, </w:t>
            </w:r>
            <w:r w:rsidR="00EC309F">
              <w:rPr>
                <w:rFonts w:ascii="Arial Narrow" w:hAnsi="Arial Narrow"/>
                <w:sz w:val="22"/>
                <w:szCs w:val="22"/>
              </w:rPr>
              <w:t xml:space="preserve">umístění inženýrských sítí </w:t>
            </w:r>
            <w:r w:rsidR="00283AF7">
              <w:rPr>
                <w:rFonts w:ascii="Arial Narrow" w:hAnsi="Arial Narrow"/>
                <w:sz w:val="22"/>
                <w:szCs w:val="22"/>
              </w:rPr>
              <w:t>v silničním pozemku, na něm nebo na mostních objektech</w:t>
            </w:r>
            <w:r w:rsidR="00EC309F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1B5327">
              <w:rPr>
                <w:rFonts w:ascii="Arial Narrow" w:hAnsi="Arial Narrow"/>
                <w:sz w:val="22"/>
                <w:szCs w:val="22"/>
              </w:rPr>
              <w:t xml:space="preserve">zřizování a provoz stánků, pojízdných či přenosných prodejních a jiných podobných </w:t>
            </w:r>
            <w:r w:rsidR="00EC309F">
              <w:rPr>
                <w:rFonts w:ascii="Arial Narrow" w:hAnsi="Arial Narrow"/>
                <w:sz w:val="22"/>
                <w:szCs w:val="22"/>
              </w:rPr>
              <w:t>z</w:t>
            </w:r>
            <w:r w:rsidR="001B5327">
              <w:rPr>
                <w:rFonts w:ascii="Arial Narrow" w:hAnsi="Arial Narrow"/>
                <w:sz w:val="22"/>
                <w:szCs w:val="22"/>
              </w:rPr>
              <w:t>a</w:t>
            </w:r>
            <w:r w:rsidR="00EC309F">
              <w:rPr>
                <w:rFonts w:ascii="Arial Narrow" w:hAnsi="Arial Narrow"/>
                <w:sz w:val="22"/>
                <w:szCs w:val="22"/>
              </w:rPr>
              <w:t>řízení</w:t>
            </w:r>
            <w:r w:rsidR="001B5327">
              <w:rPr>
                <w:rFonts w:ascii="Arial Narrow" w:hAnsi="Arial Narrow"/>
                <w:sz w:val="22"/>
                <w:szCs w:val="22"/>
              </w:rPr>
              <w:t>, audiovizuální tvorbu,</w:t>
            </w:r>
            <w:r w:rsidR="00EC309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1B5327">
              <w:rPr>
                <w:rFonts w:ascii="Arial Narrow" w:hAnsi="Arial Narrow"/>
                <w:sz w:val="22"/>
                <w:szCs w:val="22"/>
              </w:rPr>
              <w:t xml:space="preserve">zřizování </w:t>
            </w:r>
            <w:r w:rsidR="00EC309F">
              <w:rPr>
                <w:rFonts w:ascii="Arial Narrow" w:hAnsi="Arial Narrow"/>
                <w:sz w:val="22"/>
                <w:szCs w:val="22"/>
              </w:rPr>
              <w:t>vyhrazeného parkov</w:t>
            </w:r>
            <w:r w:rsidR="001B5327">
              <w:rPr>
                <w:rFonts w:ascii="Arial Narrow" w:hAnsi="Arial Narrow"/>
                <w:sz w:val="22"/>
                <w:szCs w:val="22"/>
              </w:rPr>
              <w:t>ání</w:t>
            </w:r>
            <w:r w:rsidR="00EC309F">
              <w:rPr>
                <w:rFonts w:ascii="Arial Narrow" w:hAnsi="Arial Narrow"/>
                <w:sz w:val="22"/>
                <w:szCs w:val="22"/>
              </w:rPr>
              <w:t>, pořádání sportovních, kulturních</w:t>
            </w:r>
            <w:r w:rsidR="00283AF7">
              <w:rPr>
                <w:rFonts w:ascii="Arial Narrow" w:hAnsi="Arial Narrow"/>
                <w:sz w:val="22"/>
                <w:szCs w:val="22"/>
              </w:rPr>
              <w:t xml:space="preserve">, náboženských, </w:t>
            </w:r>
            <w:r w:rsidR="00EC309F">
              <w:rPr>
                <w:rFonts w:ascii="Arial Narrow" w:hAnsi="Arial Narrow"/>
                <w:sz w:val="22"/>
                <w:szCs w:val="22"/>
              </w:rPr>
              <w:t>zábavních a</w:t>
            </w:r>
            <w:r w:rsidR="00283AF7">
              <w:rPr>
                <w:rFonts w:ascii="Arial Narrow" w:hAnsi="Arial Narrow"/>
                <w:sz w:val="22"/>
                <w:szCs w:val="22"/>
              </w:rPr>
              <w:t xml:space="preserve"> podobných a</w:t>
            </w:r>
            <w:r w:rsidR="00EC309F">
              <w:rPr>
                <w:rFonts w:ascii="Arial Narrow" w:hAnsi="Arial Narrow"/>
                <w:sz w:val="22"/>
                <w:szCs w:val="22"/>
              </w:rPr>
              <w:t xml:space="preserve">kcí, </w:t>
            </w:r>
            <w:r w:rsidR="00283AF7">
              <w:rPr>
                <w:rFonts w:ascii="Arial Narrow" w:hAnsi="Arial Narrow"/>
                <w:sz w:val="22"/>
                <w:szCs w:val="22"/>
              </w:rPr>
              <w:t>jestliže by jimi mohla být ohrožena bezpečnost nebo plynulost silničního provozu</w:t>
            </w:r>
            <w:r w:rsidR="00292D23">
              <w:rPr>
                <w:rFonts w:ascii="Arial Narrow" w:hAnsi="Arial Narrow"/>
                <w:sz w:val="22"/>
                <w:szCs w:val="22"/>
              </w:rPr>
              <w:t xml:space="preserve">, výjimečné užití pozemní komunikace pásovými vozidly Armády ČR nebo historickými vozidly, jejichž kola nejsou opatřena pneumatikami nebo gumovými obručemi, výjimečné užití pozemní komunikace </w:t>
            </w:r>
            <w:r w:rsidR="00875F98">
              <w:rPr>
                <w:rFonts w:ascii="Arial Narrow" w:hAnsi="Arial Narrow"/>
                <w:sz w:val="22"/>
                <w:szCs w:val="22"/>
              </w:rPr>
              <w:t>samojízdnými pracovními stroji a přípojnými vozidly traktorů, které nemají schválenou technickou způsobilost podle zvláštního právního předpisu</w:t>
            </w:r>
            <w:r w:rsidR="00283AF7">
              <w:rPr>
                <w:rFonts w:ascii="Arial Narrow" w:hAnsi="Arial Narrow"/>
                <w:sz w:val="22"/>
                <w:szCs w:val="22"/>
              </w:rPr>
              <w:t>. Silniční správní úřad vydá rozhodnutí o povolení zvláštního užívání na dobu určitou a v rozhodnutí stanoví podmínky zvláštního užívání. Rozhodnutí pro povolení reklamního zařízení může být povoleno nejdéle na dobu 5 let.</w:t>
            </w:r>
            <w:r w:rsidR="00290FFA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Pr="0005559D" w:rsidRDefault="008A3190" w:rsidP="009219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Žádost podává ten, v jehož zájmu nebo kvůli je</w:t>
            </w:r>
            <w:r w:rsidR="00921989">
              <w:rPr>
                <w:rFonts w:ascii="Arial Narrow" w:hAnsi="Arial Narrow"/>
                <w:sz w:val="22"/>
                <w:szCs w:val="22"/>
              </w:rPr>
              <w:t>h</w:t>
            </w:r>
            <w:r>
              <w:rPr>
                <w:rFonts w:ascii="Arial Narrow" w:hAnsi="Arial Narrow"/>
                <w:sz w:val="22"/>
                <w:szCs w:val="22"/>
              </w:rPr>
              <w:t>ož činnosti má být zvláštní užívání pozemní komunikace povoleno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290FFA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8A3190" w:rsidRDefault="008A3190" w:rsidP="008A319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Obecní úřad obce s rozšířenou působností - Městský úřad Šternberk, odbor dopravy a silničního hospodářství, Opavská 1, 78501Šternberk</w:t>
            </w:r>
          </w:p>
          <w:p w:rsidR="008A3190" w:rsidRDefault="008A3190" w:rsidP="008A319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3.podlaží, dveře č. 313, 318</w:t>
            </w:r>
          </w:p>
          <w:p w:rsidR="00A21CFF" w:rsidRDefault="008A3190" w:rsidP="00290FF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Hodiny pro veřejnost: </w:t>
            </w:r>
            <w:r w:rsidR="00290FFA">
              <w:rPr>
                <w:rFonts w:ascii="Arial Narrow" w:hAnsi="Arial Narrow"/>
                <w:sz w:val="22"/>
                <w:szCs w:val="22"/>
              </w:rPr>
              <w:t>pondělí a středa 8:00-11:30, 12:30-17:00</w:t>
            </w:r>
          </w:p>
          <w:p w:rsidR="00287FE0" w:rsidRDefault="00287FE0" w:rsidP="00287FE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Ing. Adriana Runštuková, 585 086 561</w:t>
            </w:r>
          </w:p>
          <w:p w:rsidR="00287FE0" w:rsidRPr="0005559D" w:rsidRDefault="00287FE0" w:rsidP="00287FE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Ing. Marcela Višnovská, 585 086 592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21CFF" w:rsidRPr="0005559D" w:rsidRDefault="003755A4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Vyplněný formulář žádosti, </w:t>
            </w:r>
            <w:r w:rsidR="00456ADA">
              <w:rPr>
                <w:rFonts w:ascii="Arial Narrow" w:hAnsi="Arial Narrow"/>
                <w:sz w:val="22"/>
                <w:szCs w:val="22"/>
              </w:rPr>
              <w:t xml:space="preserve">předchozí souhlas vlastníka dotčené pozemní komunikace a může-li zvláštní užívání ovlivnit bezpečnost nebo plynulost silničního provozu, také předchozí souhlas příslušného orgánu </w:t>
            </w:r>
            <w:r w:rsidR="008A3190">
              <w:rPr>
                <w:rFonts w:ascii="Arial Narrow" w:hAnsi="Arial Narrow"/>
                <w:sz w:val="22"/>
                <w:szCs w:val="22"/>
              </w:rPr>
              <w:t>Policie ČR-dopravní inspektorát.</w:t>
            </w:r>
            <w:r>
              <w:rPr>
                <w:rFonts w:ascii="Arial Narrow" w:hAnsi="Arial Narrow"/>
                <w:sz w:val="22"/>
                <w:szCs w:val="22"/>
              </w:rPr>
              <w:t xml:space="preserve"> Situace, ze které bude patrný rozsah zvláštního užívání.</w:t>
            </w:r>
            <w:r w:rsidR="00456ADA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290FFA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21CFF" w:rsidRPr="0005559D" w:rsidRDefault="008A3190" w:rsidP="0064772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Předepsaný formulář je k dispozici na </w:t>
            </w:r>
            <w:r w:rsidR="00E23FFA">
              <w:rPr>
                <w:rFonts w:ascii="Arial Narrow" w:hAnsi="Arial Narrow"/>
                <w:sz w:val="22"/>
                <w:szCs w:val="22"/>
              </w:rPr>
              <w:t xml:space="preserve">stránkách města Šternberk, </w:t>
            </w:r>
            <w:r w:rsidR="009177C4">
              <w:rPr>
                <w:rFonts w:ascii="Arial Narrow" w:hAnsi="Arial Narrow"/>
                <w:sz w:val="22"/>
                <w:szCs w:val="22"/>
              </w:rPr>
              <w:t xml:space="preserve">č. formuláře </w:t>
            </w:r>
            <w:r w:rsidR="00E23FFA">
              <w:rPr>
                <w:rFonts w:ascii="Arial Narrow" w:hAnsi="Arial Narrow"/>
                <w:sz w:val="22"/>
                <w:szCs w:val="22"/>
              </w:rPr>
              <w:t>F 04-03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hyperlink r:id="rId6" w:tgtFrame="_blank" w:history="1">
              <w:r w:rsidR="009177C4" w:rsidRPr="001C1517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zde</w:t>
              </w:r>
            </w:hyperlink>
            <w:r w:rsidR="00DA1933" w:rsidRPr="0005559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Pr="0005559D" w:rsidRDefault="00E23FFA" w:rsidP="00D60D6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Za povolení zvláštního užívání pozemní komunikace se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vybírá správní poplatek, jehož výše závisí na délce trvání zvláštního užívání. V případě vydání povolení </w:t>
            </w:r>
            <w:r w:rsidR="00A95932">
              <w:rPr>
                <w:rFonts w:ascii="Arial Narrow" w:hAnsi="Arial Narrow"/>
                <w:sz w:val="22"/>
                <w:szCs w:val="22"/>
              </w:rPr>
              <w:t xml:space="preserve">zvláštního užívání na dobu kratší než 10 dnů činí správní poplatek 100 Kč, na dobu kratší než 6 měsíců 500 Kč, v ostatních případech 1000 Kč. Od správního poplatku je osvobozeno vydání povolení ke zřízení vyhrazeného parkování pro držitele průkazu ZTP nebo ZTP/P a vydání dodatečného povolení zvláštního užívání pozemní komunikace v důsledku havárie. Správní poplatek se platí na pokladně MěÚ Šternberk </w:t>
            </w:r>
            <w:r w:rsidR="00D60D69">
              <w:rPr>
                <w:rFonts w:ascii="Arial Narrow" w:hAnsi="Arial Narrow"/>
                <w:sz w:val="22"/>
                <w:szCs w:val="22"/>
              </w:rPr>
              <w:t xml:space="preserve">nebo převodem z účtu, případně poštovní poukázkou. </w:t>
            </w:r>
            <w:r w:rsidR="00A9593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Jaké jsou lhůty pro vyřízení</w:t>
            </w:r>
          </w:p>
        </w:tc>
        <w:tc>
          <w:tcPr>
            <w:tcW w:w="4862" w:type="dxa"/>
          </w:tcPr>
          <w:p w:rsidR="00A21CFF" w:rsidRPr="0005559D" w:rsidRDefault="00D60D69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Pokud se jedná o jednoduchou věc, rozhodne úřad bezodkladně. Jinak musí být rozhodnuto do 30 dnů od podání žádosti, ve zvlášť složitých případech a v případech, kdy je nařízeno místní šetření, do 60 dnů od podání žádosti.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33384E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21CFF" w:rsidRDefault="00D60D69" w:rsidP="00D60D6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Tuto situaci je možné řešit zasláním </w:t>
            </w:r>
            <w:r w:rsidR="00290FFA">
              <w:rPr>
                <w:rFonts w:ascii="Arial Narrow" w:hAnsi="Arial Narrow"/>
                <w:sz w:val="22"/>
                <w:szCs w:val="22"/>
              </w:rPr>
              <w:t>žádosti a příloh do datové schránky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D60D69" w:rsidRPr="0005559D" w:rsidRDefault="00EE664E" w:rsidP="0033384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Vzhledem k rozsáhlému počtu </w:t>
            </w:r>
            <w:r w:rsidR="0033384E">
              <w:rPr>
                <w:rFonts w:ascii="Arial Narrow" w:hAnsi="Arial Narrow"/>
                <w:sz w:val="22"/>
                <w:szCs w:val="22"/>
              </w:rPr>
              <w:t>druhů</w:t>
            </w:r>
            <w:r>
              <w:rPr>
                <w:rFonts w:ascii="Arial Narrow" w:hAnsi="Arial Narrow"/>
                <w:sz w:val="22"/>
                <w:szCs w:val="22"/>
              </w:rPr>
              <w:t xml:space="preserve"> zvláštního užívání a jejich specifik je </w:t>
            </w:r>
            <w:r w:rsidR="00D60D69">
              <w:rPr>
                <w:rFonts w:ascii="Arial Narrow" w:hAnsi="Arial Narrow"/>
                <w:sz w:val="22"/>
                <w:szCs w:val="22"/>
              </w:rPr>
              <w:t xml:space="preserve">vhodnější osobní projednání.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Pr="0005559D" w:rsidRDefault="003755A4" w:rsidP="003755A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Další požadované náležitosti pro konkrétní </w:t>
            </w:r>
            <w:r w:rsidR="0033384E">
              <w:rPr>
                <w:rFonts w:ascii="Arial Narrow" w:hAnsi="Arial Narrow"/>
                <w:sz w:val="22"/>
                <w:szCs w:val="22"/>
              </w:rPr>
              <w:t xml:space="preserve">druh </w:t>
            </w:r>
            <w:r>
              <w:rPr>
                <w:rFonts w:ascii="Arial Narrow" w:hAnsi="Arial Narrow"/>
                <w:sz w:val="22"/>
                <w:szCs w:val="22"/>
              </w:rPr>
              <w:t xml:space="preserve">zvláštní užívání jsou uvedeny ve vyhlášce č. 104/1997 Sb., </w:t>
            </w:r>
            <w:r w:rsidR="00EE664E">
              <w:rPr>
                <w:rFonts w:ascii="Arial Narrow" w:hAnsi="Arial Narrow"/>
                <w:sz w:val="22"/>
                <w:szCs w:val="22"/>
              </w:rPr>
              <w:t>kterou se provádí zákon o pozemních komunikacích, ve znění pozdějších předpisů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292D23" w:rsidRDefault="00292D23" w:rsidP="00292D2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13/1997 Sb., o pozemních komunikacích, ve znění pozdějších předpisů</w:t>
            </w:r>
          </w:p>
          <w:p w:rsidR="0085416B" w:rsidRPr="0005559D" w:rsidRDefault="00292D23" w:rsidP="00292D2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Vyhláška č. 104/1997 Sb., ve znění pozdějších předpisů, kterou se provádí zákon o pozemních komunikacích, ve znění pozdějších předpisů</w:t>
            </w:r>
          </w:p>
        </w:tc>
      </w:tr>
      <w:tr w:rsidR="00EE664E" w:rsidRPr="0005559D" w:rsidTr="0005559D">
        <w:tc>
          <w:tcPr>
            <w:tcW w:w="4606" w:type="dxa"/>
          </w:tcPr>
          <w:p w:rsidR="00EE664E" w:rsidRPr="0005559D" w:rsidRDefault="00EE664E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EE664E" w:rsidRPr="0005559D" w:rsidRDefault="00EE664E" w:rsidP="00EE664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500/2004 Sb., správní řád, ve znění pozdějších předpisů</w:t>
            </w:r>
          </w:p>
        </w:tc>
      </w:tr>
      <w:tr w:rsidR="00EE664E" w:rsidRPr="0005559D" w:rsidTr="0005559D">
        <w:tc>
          <w:tcPr>
            <w:tcW w:w="4606" w:type="dxa"/>
          </w:tcPr>
          <w:p w:rsidR="00EE664E" w:rsidRPr="0005559D" w:rsidRDefault="00EE664E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EE664E" w:rsidRPr="0005559D" w:rsidRDefault="00EE664E" w:rsidP="00EE664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Proti rozhodnutí lze podat odvolání. Odvolání se podává ke správnímu úřadu, který rozhodnutí vydal, a to do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15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>-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ti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dnů ode dne doručení rozhodnutí. Odvolání proti rozhodnutí o uzavírce nemá odkladný účinek.</w:t>
            </w:r>
          </w:p>
        </w:tc>
      </w:tr>
      <w:tr w:rsidR="00EE664E" w:rsidRPr="0005559D" w:rsidTr="0005559D">
        <w:tc>
          <w:tcPr>
            <w:tcW w:w="4606" w:type="dxa"/>
          </w:tcPr>
          <w:p w:rsidR="00EE664E" w:rsidRPr="0005559D" w:rsidRDefault="00EE664E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EE664E" w:rsidRPr="0005559D" w:rsidRDefault="00EE664E" w:rsidP="00290FF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Užití pozemní komunikace jiným než obvyklým způsobem nebo k</w:t>
            </w:r>
            <w:r w:rsidR="0033384E">
              <w:rPr>
                <w:rFonts w:ascii="Arial Narrow" w:hAnsi="Arial Narrow"/>
                <w:sz w:val="22"/>
                <w:szCs w:val="22"/>
              </w:rPr>
              <w:t xml:space="preserve"> j</w:t>
            </w:r>
            <w:r>
              <w:rPr>
                <w:rFonts w:ascii="Arial Narrow" w:hAnsi="Arial Narrow"/>
                <w:sz w:val="22"/>
                <w:szCs w:val="22"/>
              </w:rPr>
              <w:t>iným účelům, než pro které jsou určeny</w:t>
            </w:r>
            <w:r w:rsidR="0033384E">
              <w:rPr>
                <w:rFonts w:ascii="Arial Narrow" w:hAnsi="Arial Narrow"/>
                <w:sz w:val="22"/>
                <w:szCs w:val="22"/>
              </w:rPr>
              <w:t xml:space="preserve"> bez povolení silničního správního úřadu a nedodržení podmínek stanovených v povolení zvláštního užívání</w:t>
            </w:r>
            <w:r>
              <w:rPr>
                <w:rFonts w:ascii="Arial Narrow" w:hAnsi="Arial Narrow"/>
                <w:sz w:val="22"/>
                <w:szCs w:val="22"/>
              </w:rPr>
              <w:t xml:space="preserve"> je přestupkem, případně deliktem dle § 42a a 42b zákona o pozemních komunikacích</w:t>
            </w:r>
            <w:r w:rsidR="00290FFA">
              <w:rPr>
                <w:rFonts w:ascii="Arial Narrow" w:hAnsi="Arial Narrow"/>
                <w:sz w:val="22"/>
                <w:szCs w:val="22"/>
              </w:rPr>
              <w:t>, za který lze uložit pokutu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="00290FFA">
              <w:rPr>
                <w:rFonts w:ascii="Arial Narrow" w:hAnsi="Arial Narrow"/>
                <w:sz w:val="22"/>
                <w:szCs w:val="22"/>
              </w:rPr>
              <w:t xml:space="preserve"> Pokud právnická nebo fyzická osoba porušuje podmínky stanovené v rozhodnutí o povolení zvláštního užívání pozemní komunikace, rozhodne silniční správní úřad o odnětí povolení. Právnické nebo fyzické osobě, které bylo odňato povolení ke zvláštnímu užívání, může být uděleno povolení ke zvláštnímu užívání na základě nové žádosti nejdříve po uplynutí 3 let od nabytí právní moci rozhodnutí o odnětí povolení.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EE664E" w:rsidRPr="0005559D" w:rsidTr="0005559D">
        <w:tc>
          <w:tcPr>
            <w:tcW w:w="4606" w:type="dxa"/>
          </w:tcPr>
          <w:p w:rsidR="00EE664E" w:rsidRPr="0005559D" w:rsidRDefault="00EE664E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EE664E" w:rsidRPr="0005559D" w:rsidRDefault="00EE664E" w:rsidP="000C6F1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384E" w:rsidRPr="0005559D" w:rsidTr="0005559D">
        <w:tc>
          <w:tcPr>
            <w:tcW w:w="4606" w:type="dxa"/>
          </w:tcPr>
          <w:p w:rsidR="0033384E" w:rsidRPr="0005559D" w:rsidRDefault="0033384E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33384E" w:rsidRPr="0005559D" w:rsidRDefault="0033384E" w:rsidP="009219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Lze získat přímo na MěÚ Šternberk, odbor dopravy a silničního hospodářství</w:t>
            </w:r>
          </w:p>
        </w:tc>
      </w:tr>
      <w:tr w:rsidR="0033384E" w:rsidRPr="0005559D" w:rsidTr="0005559D">
        <w:tc>
          <w:tcPr>
            <w:tcW w:w="4606" w:type="dxa"/>
          </w:tcPr>
          <w:p w:rsidR="0033384E" w:rsidRPr="0005559D" w:rsidRDefault="0033384E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33384E" w:rsidRDefault="0033384E" w:rsidP="009219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Stránky ministerstva dopravy, Krajský úřad Olomouckého kraje</w:t>
            </w:r>
          </w:p>
          <w:p w:rsidR="009177C4" w:rsidRDefault="00324C91" w:rsidP="009177C4">
            <w:pPr>
              <w:rPr>
                <w:rFonts w:ascii="Arial Narrow" w:hAnsi="Arial Narrow"/>
                <w:sz w:val="22"/>
                <w:szCs w:val="22"/>
              </w:rPr>
            </w:pPr>
            <w:hyperlink r:id="rId7" w:history="1">
              <w:r w:rsidR="009177C4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www.mdcr.cz</w:t>
              </w:r>
            </w:hyperlink>
            <w:r w:rsidR="009177C4">
              <w:rPr>
                <w:rFonts w:ascii="Arial Narrow" w:hAnsi="Arial Narrow"/>
                <w:sz w:val="22"/>
                <w:szCs w:val="22"/>
              </w:rPr>
              <w:t xml:space="preserve">           </w:t>
            </w:r>
            <w:hyperlink r:id="rId8" w:history="1">
              <w:r w:rsidR="009177C4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www.kr-olomoucky.cz</w:t>
              </w:r>
            </w:hyperlink>
          </w:p>
          <w:p w:rsidR="009177C4" w:rsidRPr="0005559D" w:rsidRDefault="009177C4" w:rsidP="0092198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384E" w:rsidRPr="0005559D" w:rsidTr="0005559D">
        <w:tc>
          <w:tcPr>
            <w:tcW w:w="4606" w:type="dxa"/>
          </w:tcPr>
          <w:p w:rsidR="0033384E" w:rsidRPr="0005559D" w:rsidRDefault="0033384E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33384E" w:rsidRPr="0005559D" w:rsidRDefault="0033384E" w:rsidP="00921989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Městský úřad Šternberk, odbor dopravy a silničního 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lastRenderedPageBreak/>
              <w:t>hospodářství</w:t>
            </w:r>
            <w:r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 </w:t>
            </w:r>
          </w:p>
        </w:tc>
      </w:tr>
      <w:tr w:rsidR="0033384E" w:rsidRPr="0005559D" w:rsidTr="0005559D">
        <w:tc>
          <w:tcPr>
            <w:tcW w:w="4606" w:type="dxa"/>
          </w:tcPr>
          <w:p w:rsidR="0033384E" w:rsidRPr="0005559D" w:rsidRDefault="0033384E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Kontaktní osoba</w:t>
            </w:r>
          </w:p>
        </w:tc>
        <w:tc>
          <w:tcPr>
            <w:tcW w:w="4862" w:type="dxa"/>
          </w:tcPr>
          <w:p w:rsidR="0033384E" w:rsidRPr="0005559D" w:rsidRDefault="00287FE0" w:rsidP="00287FE0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33384E">
              <w:rPr>
                <w:rFonts w:ascii="Arial Narrow" w:hAnsi="Arial Narrow"/>
                <w:sz w:val="22"/>
                <w:szCs w:val="22"/>
              </w:rPr>
              <w:t>edoucí odboru</w:t>
            </w:r>
            <w:r>
              <w:rPr>
                <w:rFonts w:ascii="Arial Narrow" w:hAnsi="Arial Narrow"/>
                <w:sz w:val="22"/>
                <w:szCs w:val="22"/>
              </w:rPr>
              <w:t xml:space="preserve"> Ing. Adriana Runštuková</w:t>
            </w:r>
            <w:r w:rsidR="0033384E"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33384E" w:rsidRPr="0005559D" w:rsidTr="0005559D">
        <w:tc>
          <w:tcPr>
            <w:tcW w:w="4606" w:type="dxa"/>
          </w:tcPr>
          <w:p w:rsidR="0033384E" w:rsidRPr="0005559D" w:rsidRDefault="0033384E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33384E" w:rsidRPr="0005559D" w:rsidRDefault="00287FE0" w:rsidP="00771AB7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33384E">
              <w:rPr>
                <w:rFonts w:ascii="Arial Narrow" w:hAnsi="Arial Narrow"/>
                <w:sz w:val="22"/>
                <w:szCs w:val="22"/>
              </w:rPr>
              <w:t>.9. 201</w:t>
            </w:r>
            <w:r w:rsidR="00771AB7">
              <w:rPr>
                <w:rFonts w:ascii="Arial Narrow" w:hAnsi="Arial Narrow"/>
                <w:sz w:val="22"/>
                <w:szCs w:val="22"/>
              </w:rPr>
              <w:t>1</w:t>
            </w:r>
            <w:proofErr w:type="gramEnd"/>
          </w:p>
        </w:tc>
      </w:tr>
      <w:tr w:rsidR="0033384E" w:rsidRPr="0005559D" w:rsidTr="0005559D">
        <w:tc>
          <w:tcPr>
            <w:tcW w:w="4606" w:type="dxa"/>
          </w:tcPr>
          <w:p w:rsidR="0033384E" w:rsidRPr="0005559D" w:rsidRDefault="0033384E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33384E" w:rsidRPr="0005559D" w:rsidRDefault="00287FE0" w:rsidP="00771AB7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33384E">
              <w:rPr>
                <w:rFonts w:ascii="Arial Narrow" w:hAnsi="Arial Narrow"/>
                <w:sz w:val="22"/>
                <w:szCs w:val="22"/>
              </w:rPr>
              <w:t>.9. 201</w:t>
            </w:r>
            <w:r w:rsidR="00771AB7">
              <w:rPr>
                <w:rFonts w:ascii="Arial Narrow" w:hAnsi="Arial Narrow"/>
                <w:sz w:val="22"/>
                <w:szCs w:val="22"/>
              </w:rPr>
              <w:t>1</w:t>
            </w:r>
            <w:proofErr w:type="gramEnd"/>
          </w:p>
        </w:tc>
      </w:tr>
      <w:tr w:rsidR="0033384E" w:rsidRPr="0005559D" w:rsidTr="0005559D">
        <w:tc>
          <w:tcPr>
            <w:tcW w:w="4606" w:type="dxa"/>
          </w:tcPr>
          <w:p w:rsidR="0033384E" w:rsidRPr="0005559D" w:rsidRDefault="0033384E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33384E" w:rsidRPr="0005559D" w:rsidRDefault="0033384E" w:rsidP="0092198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Pr="004630DF">
              <w:rPr>
                <w:rFonts w:ascii="Arial Narrow" w:hAnsi="Arial Narrow"/>
                <w:sz w:val="22"/>
                <w:szCs w:val="22"/>
              </w:rPr>
              <w:t>onec platnosti návodu není stanoven</w:t>
            </w:r>
            <w:r w:rsidRPr="0005559D"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05559D"/>
    <w:rsid w:val="000C6BF7"/>
    <w:rsid w:val="000C6F13"/>
    <w:rsid w:val="0010210F"/>
    <w:rsid w:val="00131207"/>
    <w:rsid w:val="00157E5D"/>
    <w:rsid w:val="00161CF3"/>
    <w:rsid w:val="00164D93"/>
    <w:rsid w:val="001724DB"/>
    <w:rsid w:val="001B5327"/>
    <w:rsid w:val="001C1517"/>
    <w:rsid w:val="002515C2"/>
    <w:rsid w:val="00283AF7"/>
    <w:rsid w:val="00287FE0"/>
    <w:rsid w:val="00290FFA"/>
    <w:rsid w:val="00292D23"/>
    <w:rsid w:val="00324C91"/>
    <w:rsid w:val="0033384E"/>
    <w:rsid w:val="003755A4"/>
    <w:rsid w:val="003A0E4D"/>
    <w:rsid w:val="003A4568"/>
    <w:rsid w:val="00401C8D"/>
    <w:rsid w:val="00404DC8"/>
    <w:rsid w:val="004430DA"/>
    <w:rsid w:val="0044739E"/>
    <w:rsid w:val="00456ADA"/>
    <w:rsid w:val="00463337"/>
    <w:rsid w:val="004B0A2D"/>
    <w:rsid w:val="004C1442"/>
    <w:rsid w:val="004D5E94"/>
    <w:rsid w:val="00500595"/>
    <w:rsid w:val="005F3161"/>
    <w:rsid w:val="00647720"/>
    <w:rsid w:val="006B3781"/>
    <w:rsid w:val="00752105"/>
    <w:rsid w:val="00771AB7"/>
    <w:rsid w:val="00840389"/>
    <w:rsid w:val="0085416B"/>
    <w:rsid w:val="00875F98"/>
    <w:rsid w:val="00884329"/>
    <w:rsid w:val="00896478"/>
    <w:rsid w:val="008A3190"/>
    <w:rsid w:val="008D491B"/>
    <w:rsid w:val="008F3B17"/>
    <w:rsid w:val="009177C4"/>
    <w:rsid w:val="00921989"/>
    <w:rsid w:val="0093380C"/>
    <w:rsid w:val="009A02F0"/>
    <w:rsid w:val="00A21CFF"/>
    <w:rsid w:val="00A41B03"/>
    <w:rsid w:val="00A95932"/>
    <w:rsid w:val="00B22586"/>
    <w:rsid w:val="00B37215"/>
    <w:rsid w:val="00BD4DFD"/>
    <w:rsid w:val="00C75BE6"/>
    <w:rsid w:val="00C83508"/>
    <w:rsid w:val="00D03E6D"/>
    <w:rsid w:val="00D24DB4"/>
    <w:rsid w:val="00D340C9"/>
    <w:rsid w:val="00D60D69"/>
    <w:rsid w:val="00DA1933"/>
    <w:rsid w:val="00E23FFA"/>
    <w:rsid w:val="00EC309F"/>
    <w:rsid w:val="00EE664E"/>
    <w:rsid w:val="00F004A8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-olomoucky.c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dcr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ernberk.eu/index_web.php?jazyk=cz&amp;sekce=urad&amp;kategorie_1=mestsky-urad&amp;kategorie_2=struktura&amp;kategorie_3=odbor-dopravy-a-silnicniho-hospodarstvi&amp;kategorie_4=forms_odsh&amp;id_dokumentu=186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D77F2-1476-4875-8D16-898CEB4EC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931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Město Šternberk</cp:lastModifiedBy>
  <cp:revision>14</cp:revision>
  <cp:lastPrinted>2011-09-06T10:49:00Z</cp:lastPrinted>
  <dcterms:created xsi:type="dcterms:W3CDTF">2011-09-02T09:16:00Z</dcterms:created>
  <dcterms:modified xsi:type="dcterms:W3CDTF">2011-09-12T08:38:00Z</dcterms:modified>
</cp:coreProperties>
</file>