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C9" w:rsidRPr="00CB4FC9" w:rsidRDefault="00CB4FC9" w:rsidP="00CB4FC9">
      <w:pPr>
        <w:pStyle w:val="Nadpis2"/>
        <w:rPr>
          <w:caps/>
          <w:sz w:val="28"/>
          <w:szCs w:val="28"/>
          <w:lang w:eastAsia="cs-CZ"/>
        </w:rPr>
      </w:pPr>
      <w:r w:rsidRPr="00CB4FC9">
        <w:rPr>
          <w:caps/>
          <w:sz w:val="28"/>
          <w:szCs w:val="28"/>
          <w:lang w:eastAsia="cs-CZ"/>
        </w:rPr>
        <w:t>Životní situace</w:t>
      </w:r>
    </w:p>
    <w:p w:rsidR="00DF7F32" w:rsidRDefault="00DF7F32" w:rsidP="003E21F9">
      <w:pPr>
        <w:spacing w:after="0" w:line="240" w:lineRule="auto"/>
        <w:rPr>
          <w:rFonts w:cs="Calibr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DF7F32" w:rsidRPr="0005559D" w:rsidTr="00D7131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DF7F32" w:rsidRPr="0005559D" w:rsidRDefault="00DF7F32" w:rsidP="00D7131D">
            <w:pPr>
              <w:rPr>
                <w:rFonts w:ascii="Arial Narrow" w:hAnsi="Arial Narrow"/>
                <w:b/>
              </w:rPr>
            </w:pPr>
            <w:r w:rsidRPr="0005559D">
              <w:rPr>
                <w:rFonts w:ascii="Arial Narrow" w:hAnsi="Arial Narrow"/>
                <w:b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DF7F32" w:rsidRPr="00433308" w:rsidRDefault="00433308" w:rsidP="00433308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433308">
              <w:rPr>
                <w:rFonts w:ascii="Arial Narrow" w:eastAsia="Times New Roman" w:hAnsi="Arial Narrow" w:cstheme="minorHAnsi"/>
                <w:b/>
                <w:lang w:eastAsia="cs-CZ"/>
              </w:rPr>
              <w:t xml:space="preserve">Dotace na obnovu kulturní památky </w:t>
            </w:r>
          </w:p>
        </w:tc>
      </w:tr>
      <w:tr w:rsidR="00DF7F32" w:rsidRPr="0005559D" w:rsidTr="00D7131D">
        <w:tc>
          <w:tcPr>
            <w:tcW w:w="4606" w:type="dxa"/>
          </w:tcPr>
          <w:p w:rsidR="00DF7F32" w:rsidRPr="0005559D" w:rsidRDefault="00DF7F32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Základní informace k životní situaci</w:t>
            </w:r>
          </w:p>
        </w:tc>
        <w:tc>
          <w:tcPr>
            <w:tcW w:w="4862" w:type="dxa"/>
          </w:tcPr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>
              <w:rPr>
                <w:rFonts w:ascii="Arial Narrow" w:eastAsia="Times New Roman" w:hAnsi="Arial Narrow" w:cstheme="minorHAnsi"/>
                <w:lang w:eastAsia="cs-CZ"/>
              </w:rPr>
              <w:t>Vlastník kulturní památky může obdržet dotaci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 </w:t>
            </w:r>
            <w:r w:rsidRPr="00433308">
              <w:rPr>
                <w:rFonts w:ascii="Arial Narrow" w:eastAsia="Times New Roman" w:hAnsi="Arial Narrow" w:cstheme="minorHAnsi"/>
                <w:b/>
                <w:lang w:eastAsia="cs-CZ"/>
              </w:rPr>
              <w:t>z 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>Programu regenerace městských památkových rezervací a městských památkových zón</w:t>
            </w:r>
            <w:r w:rsidR="007C31CE">
              <w:rPr>
                <w:rFonts w:ascii="Arial Narrow" w:eastAsia="Times New Roman" w:hAnsi="Arial Narrow" w:cstheme="minorHAnsi"/>
                <w:lang w:eastAsia="cs-CZ"/>
              </w:rPr>
              <w:t xml:space="preserve">. Dotace </w:t>
            </w:r>
            <w:proofErr w:type="gramStart"/>
            <w:r w:rsidR="007C31CE">
              <w:rPr>
                <w:rFonts w:ascii="Arial Narrow" w:eastAsia="Times New Roman" w:hAnsi="Arial Narrow" w:cstheme="minorHAnsi"/>
                <w:lang w:eastAsia="cs-CZ"/>
              </w:rPr>
              <w:t>se  poskytuje</w:t>
            </w:r>
            <w:proofErr w:type="gramEnd"/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 rozhodnutím Ministerstva kultury ze státního rozpočtu. Dotace může být poskytnuta pouze na úhradu prací zabezpečující uchování souhrnné památkové hodnoty, přičemž kulturní památka se musí nacházet na území </w:t>
            </w:r>
            <w:r>
              <w:rPr>
                <w:rFonts w:ascii="Arial Narrow" w:eastAsia="Times New Roman" w:hAnsi="Arial Narrow" w:cstheme="minorHAnsi"/>
                <w:lang w:eastAsia="cs-CZ"/>
              </w:rPr>
              <w:t>památkové zóny.</w:t>
            </w:r>
          </w:p>
          <w:p w:rsidR="00DF7F32" w:rsidRPr="00433308" w:rsidRDefault="00433308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O dotaci může žádat organizace nebo fyzická osoba, která je vlastníkem kulturní památky</w:t>
            </w:r>
            <w:r>
              <w:rPr>
                <w:rFonts w:ascii="Arial Narrow" w:eastAsia="Times New Roman" w:hAnsi="Arial Narrow" w:cstheme="minorHAnsi"/>
                <w:lang w:eastAsia="cs-CZ"/>
              </w:rPr>
              <w:t>,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 a</w:t>
            </w:r>
            <w:r>
              <w:rPr>
                <w:rFonts w:ascii="Arial Narrow" w:eastAsia="Times New Roman" w:hAnsi="Arial Narrow" w:cstheme="minorHAnsi"/>
                <w:lang w:eastAsia="cs-CZ"/>
              </w:rPr>
              <w:t>ž do výše 60% nákladů, církevní subjekty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 až do výše 80% nákladů.</w:t>
            </w:r>
          </w:p>
        </w:tc>
      </w:tr>
      <w:tr w:rsidR="00DF7F32" w:rsidRPr="0005559D" w:rsidTr="00D7131D">
        <w:tc>
          <w:tcPr>
            <w:tcW w:w="4606" w:type="dxa"/>
          </w:tcPr>
          <w:p w:rsidR="00DF7F32" w:rsidRPr="0005559D" w:rsidRDefault="00DF7F32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DF7F32" w:rsidRPr="00433308" w:rsidRDefault="00DF7F32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V této věci je oprávněn jednat vlastník památky nebo její správce nebo uživatel, popř. další osoba s plnou mocí vlastníka.</w:t>
            </w:r>
          </w:p>
        </w:tc>
      </w:tr>
      <w:tr w:rsidR="00DF7F32" w:rsidRPr="0005559D" w:rsidTr="00D7131D">
        <w:tc>
          <w:tcPr>
            <w:tcW w:w="4606" w:type="dxa"/>
          </w:tcPr>
          <w:p w:rsidR="00DF7F32" w:rsidRPr="0005559D" w:rsidRDefault="00DF7F32" w:rsidP="00D7131D">
            <w:pPr>
              <w:rPr>
                <w:rFonts w:ascii="Arial Narrow" w:hAnsi="Arial Narrow"/>
                <w:i/>
              </w:rPr>
            </w:pPr>
            <w:r w:rsidRPr="0005559D">
              <w:rPr>
                <w:rFonts w:ascii="Arial Narrow" w:hAnsi="Arial Narrow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DF7F32" w:rsidRPr="00433308" w:rsidRDefault="00DF7F32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Na obecním úřadě s rozšířenou působností – orgán</w:t>
            </w:r>
            <w:r w:rsidR="00433308">
              <w:rPr>
                <w:rFonts w:ascii="Arial Narrow" w:hAnsi="Arial Narrow" w:cstheme="minorHAnsi"/>
              </w:rPr>
              <w:t>u</w:t>
            </w:r>
            <w:r w:rsidRPr="00433308">
              <w:rPr>
                <w:rFonts w:ascii="Arial Narrow" w:hAnsi="Arial Narrow" w:cstheme="minorHAnsi"/>
              </w:rPr>
              <w:t xml:space="preserve"> státní památkové péče </w:t>
            </w:r>
          </w:p>
          <w:p w:rsidR="00DF7F32" w:rsidRPr="00433308" w:rsidRDefault="00DF7F32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(odbor školství a kultury Městského úřadu Šternberk)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>
              <w:rPr>
                <w:rFonts w:ascii="Arial Narrow" w:eastAsia="Times New Roman" w:hAnsi="Arial Narrow" w:cstheme="minorHAnsi"/>
                <w:bCs/>
                <w:lang w:eastAsia="cs-CZ"/>
              </w:rPr>
              <w:t xml:space="preserve">vyplněný formulář </w:t>
            </w:r>
            <w:r w:rsidRPr="00433308">
              <w:rPr>
                <w:rFonts w:ascii="Arial Narrow" w:eastAsia="Times New Roman" w:hAnsi="Arial Narrow" w:cstheme="minorHAnsi"/>
                <w:bCs/>
                <w:lang w:eastAsia="cs-CZ"/>
              </w:rPr>
              <w:t xml:space="preserve"> </w:t>
            </w:r>
          </w:p>
          <w:p w:rsidR="00DD485D" w:rsidRPr="00DD485D" w:rsidRDefault="00DD485D" w:rsidP="00DD485D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D485D">
              <w:rPr>
                <w:rFonts w:ascii="Arial Narrow" w:eastAsia="Times New Roman" w:hAnsi="Arial Narrow" w:cs="Calibri"/>
                <w:bCs/>
                <w:lang w:eastAsia="cs-CZ"/>
              </w:rPr>
              <w:t>doklad osvědčující vlastnické právo ke kulturní památce (výpis z katastru nemovitostí) a kopi</w:t>
            </w:r>
            <w:r>
              <w:rPr>
                <w:rFonts w:ascii="Arial Narrow" w:eastAsia="Times New Roman" w:hAnsi="Arial Narrow" w:cs="Calibri"/>
                <w:bCs/>
                <w:lang w:eastAsia="cs-CZ"/>
              </w:rPr>
              <w:t>e</w:t>
            </w:r>
            <w:r w:rsidRPr="00DD485D">
              <w:rPr>
                <w:rFonts w:ascii="Arial Narrow" w:eastAsia="Times New Roman" w:hAnsi="Arial Narrow" w:cs="Calibri"/>
                <w:bCs/>
                <w:lang w:eastAsia="cs-CZ"/>
              </w:rPr>
              <w:t xml:space="preserve"> snímku </w:t>
            </w:r>
            <w:r>
              <w:rPr>
                <w:rFonts w:ascii="Arial Narrow" w:eastAsia="Times New Roman" w:hAnsi="Arial Narrow" w:cs="Calibri"/>
                <w:bCs/>
                <w:lang w:eastAsia="cs-CZ"/>
              </w:rPr>
              <w:t xml:space="preserve">z </w:t>
            </w:r>
            <w:r w:rsidRPr="00DD485D">
              <w:rPr>
                <w:rFonts w:ascii="Arial Narrow" w:eastAsia="Times New Roman" w:hAnsi="Arial Narrow" w:cs="Calibri"/>
                <w:bCs/>
                <w:lang w:eastAsia="cs-CZ"/>
              </w:rPr>
              <w:t>katastrální mapy</w:t>
            </w:r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závazné stanovisko orgánu státní památkové péče k obnově kulturní památky</w:t>
            </w:r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doklad o výběru zhotovitele díla v souladu se zákonem č. 137/2006 Sb., o veřejných zakázkách, ve znění pozdějších předpisů, jde-li o veřejnou zakázku</w:t>
            </w:r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>
              <w:rPr>
                <w:rFonts w:ascii="Arial Narrow" w:eastAsia="Times New Roman" w:hAnsi="Arial Narrow" w:cstheme="minorHAnsi"/>
                <w:lang w:eastAsia="cs-CZ"/>
              </w:rPr>
              <w:t>smlouva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 o dílo a položkový rozpočet</w:t>
            </w:r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povolení k restaurování (v případě restaurátorských prací)</w:t>
            </w:r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fotodokumentace současného stavu památky</w:t>
            </w:r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doklad o existenci aktuálního příjmového účtu</w:t>
            </w:r>
            <w:r>
              <w:rPr>
                <w:rFonts w:ascii="Arial Narrow" w:eastAsia="Times New Roman" w:hAnsi="Arial Narrow" w:cstheme="minorHAnsi"/>
                <w:lang w:eastAsia="cs-CZ"/>
              </w:rPr>
              <w:t xml:space="preserve"> žadatele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 xml:space="preserve">Formuláře </w:t>
            </w:r>
          </w:p>
        </w:tc>
        <w:tc>
          <w:tcPr>
            <w:tcW w:w="4862" w:type="dxa"/>
          </w:tcPr>
          <w:p w:rsidR="00433308" w:rsidRPr="00433308" w:rsidRDefault="00156DD2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hyperlink r:id="rId5" w:history="1">
              <w:r w:rsidR="00433308" w:rsidRPr="00433308">
                <w:rPr>
                  <w:rStyle w:val="Hypertextovodkaz"/>
                  <w:rFonts w:ascii="Arial Narrow" w:hAnsi="Arial Narrow" w:cstheme="minorHAnsi"/>
                </w:rPr>
                <w:t>Formuláře</w:t>
              </w:r>
            </w:hyperlink>
            <w:r w:rsidR="00433308" w:rsidRPr="00433308">
              <w:rPr>
                <w:rFonts w:ascii="Arial Narrow" w:hAnsi="Arial Narrow" w:cstheme="minorHAnsi"/>
              </w:rPr>
              <w:t xml:space="preserve"> jsou k dispozici na www.</w:t>
            </w:r>
            <w:proofErr w:type="spellStart"/>
            <w:r w:rsidR="00433308" w:rsidRPr="00433308">
              <w:rPr>
                <w:rFonts w:ascii="Arial Narrow" w:hAnsi="Arial Narrow" w:cstheme="minorHAnsi"/>
              </w:rPr>
              <w:t>sternberk.eu</w:t>
            </w:r>
            <w:proofErr w:type="spellEnd"/>
            <w:r w:rsidR="00433308" w:rsidRPr="00433308">
              <w:rPr>
                <w:rFonts w:ascii="Arial Narrow" w:hAnsi="Arial Narrow" w:cstheme="minorHAnsi"/>
              </w:rPr>
              <w:t xml:space="preserve"> nebo </w:t>
            </w:r>
            <w:proofErr w:type="gramStart"/>
            <w:r w:rsidR="00433308" w:rsidRPr="00433308">
              <w:rPr>
                <w:rFonts w:ascii="Arial Narrow" w:hAnsi="Arial Narrow" w:cstheme="minorHAnsi"/>
              </w:rPr>
              <w:t>na</w:t>
            </w:r>
            <w:proofErr w:type="gramEnd"/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odboru školství a kultury Městského úřadu Šternberk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433308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Jaké jsou poplatky a jak je lze uhradit</w:t>
            </w:r>
          </w:p>
        </w:tc>
        <w:tc>
          <w:tcPr>
            <w:tcW w:w="4862" w:type="dxa"/>
          </w:tcPr>
          <w:p w:rsidR="00433308" w:rsidRPr="00433308" w:rsidRDefault="00433308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Správní poplatky nejsou stanoveny.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Jaké jsou lhůty pro vyřízení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Lh</w:t>
            </w:r>
            <w:r>
              <w:rPr>
                <w:rFonts w:ascii="Arial Narrow" w:eastAsia="Times New Roman" w:hAnsi="Arial Narrow" w:cstheme="minorHAnsi"/>
                <w:lang w:eastAsia="cs-CZ"/>
              </w:rPr>
              <w:t>ůty pro žadatele jsou zveřejňovány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 na internetových stránkách Městského úřadu Šternberk a </w:t>
            </w:r>
            <w:r>
              <w:rPr>
                <w:rFonts w:ascii="Arial Narrow" w:eastAsia="Times New Roman" w:hAnsi="Arial Narrow" w:cstheme="minorHAnsi"/>
                <w:lang w:eastAsia="cs-CZ"/>
              </w:rPr>
              <w:t>m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inisterstva kultury, termín pro podání žádosti na následující rok je zpravidla v listopadu roku aktuálního. Termíny pro vyřízení žádosti jsou vázány na uvolňování finančních prostředků </w:t>
            </w:r>
            <w:r w:rsidR="007C31CE">
              <w:rPr>
                <w:rFonts w:ascii="Arial Narrow" w:eastAsia="Times New Roman" w:hAnsi="Arial Narrow" w:cstheme="minorHAnsi"/>
                <w:lang w:eastAsia="cs-CZ"/>
              </w:rPr>
              <w:t>m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inisterstvem kultury a </w:t>
            </w:r>
            <w:r w:rsidR="007C31CE">
              <w:rPr>
                <w:rFonts w:ascii="Arial Narrow" w:eastAsia="Times New Roman" w:hAnsi="Arial Narrow" w:cstheme="minorHAnsi"/>
                <w:lang w:eastAsia="cs-CZ"/>
              </w:rPr>
              <w:t xml:space="preserve">z rozpočtu města 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>Šternberk</w:t>
            </w:r>
            <w:r w:rsidR="007C31CE">
              <w:rPr>
                <w:rFonts w:ascii="Arial Narrow" w:eastAsia="Times New Roman" w:hAnsi="Arial Narrow" w:cstheme="minorHAnsi"/>
                <w:lang w:eastAsia="cs-CZ"/>
              </w:rPr>
              <w:t>a.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  <w:i/>
                <w:color w:val="FF0000"/>
              </w:rPr>
            </w:pPr>
            <w:r w:rsidRPr="0005559D">
              <w:rPr>
                <w:rFonts w:ascii="Arial Narrow" w:hAnsi="Arial Narrow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433308" w:rsidRPr="00433308" w:rsidRDefault="00433308" w:rsidP="00433308">
            <w:pPr>
              <w:pStyle w:val="Normlnweb"/>
              <w:spacing w:before="0" w:beforeAutospacing="0" w:after="0" w:afterAutospacing="0"/>
              <w:rPr>
                <w:rFonts w:ascii="Arial Narrow" w:hAnsi="Arial Narrow" w:cstheme="minorHAnsi"/>
                <w:sz w:val="22"/>
                <w:szCs w:val="22"/>
              </w:rPr>
            </w:pPr>
            <w:r w:rsidRPr="00433308">
              <w:rPr>
                <w:rFonts w:ascii="Arial Narrow" w:hAnsi="Arial Narrow" w:cstheme="minorHAnsi"/>
                <w:sz w:val="22"/>
                <w:szCs w:val="22"/>
              </w:rPr>
              <w:t>Můžete využít elektronickou podatelnu na e-</w:t>
            </w:r>
            <w:proofErr w:type="spellStart"/>
            <w:r w:rsidRPr="00433308">
              <w:rPr>
                <w:rFonts w:ascii="Arial Narrow" w:hAnsi="Arial Narrow" w:cstheme="minorHAnsi"/>
                <w:sz w:val="22"/>
                <w:szCs w:val="22"/>
              </w:rPr>
              <w:t>mailové</w:t>
            </w:r>
            <w:proofErr w:type="spellEnd"/>
            <w:r w:rsidRPr="00433308">
              <w:rPr>
                <w:rFonts w:ascii="Arial Narrow" w:hAnsi="Arial Narrow" w:cstheme="minorHAnsi"/>
                <w:sz w:val="22"/>
                <w:szCs w:val="22"/>
              </w:rPr>
              <w:t xml:space="preserve"> adrese: </w:t>
            </w:r>
            <w:hyperlink r:id="rId6" w:history="1">
              <w:r w:rsidRPr="00433308">
                <w:rPr>
                  <w:rStyle w:val="Hypertextovodkaz"/>
                  <w:rFonts w:ascii="Arial Narrow" w:hAnsi="Arial Narrow" w:cstheme="minorHAnsi"/>
                  <w:sz w:val="22"/>
                  <w:szCs w:val="22"/>
                </w:rPr>
                <w:t>podatelna@sternberk.cz</w:t>
              </w:r>
            </w:hyperlink>
            <w:r w:rsidRPr="00433308">
              <w:rPr>
                <w:rFonts w:ascii="Arial Narrow" w:hAnsi="Arial Narrow" w:cstheme="minorHAnsi"/>
                <w:sz w:val="22"/>
                <w:szCs w:val="22"/>
              </w:rPr>
              <w:t>  (s elektronicky ověřeným podpisem)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Zpřístupnění objektu kulturní památky</w:t>
            </w:r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Předložení předmětu restaurování</w:t>
            </w:r>
          </w:p>
          <w:p w:rsidR="00433308" w:rsidRPr="00433308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Předložení závěrečného vyúčtování 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Podle kterého právního předpisu se postupuje</w:t>
            </w:r>
          </w:p>
        </w:tc>
        <w:tc>
          <w:tcPr>
            <w:tcW w:w="4862" w:type="dxa"/>
          </w:tcPr>
          <w:p w:rsidR="00433308" w:rsidRPr="00433308" w:rsidRDefault="00433308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Zákon č.20/1987 Sb., o státní památkové péči, ve znění pozdějších předpisů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Jaké jsou související předpisy</w:t>
            </w:r>
          </w:p>
        </w:tc>
        <w:tc>
          <w:tcPr>
            <w:tcW w:w="4862" w:type="dxa"/>
          </w:tcPr>
          <w:p w:rsidR="00433308" w:rsidRPr="00DD485D" w:rsidRDefault="00433308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DD485D">
              <w:rPr>
                <w:rFonts w:ascii="Arial Narrow" w:hAnsi="Arial Narrow" w:cstheme="minorHAnsi"/>
              </w:rPr>
              <w:t>Vyhláška č. 476/1992 Sb., o prohlášení území historických jader vybraných měst za památkové zóny;</w:t>
            </w:r>
          </w:p>
          <w:p w:rsidR="00433308" w:rsidRPr="00DD485D" w:rsidRDefault="00433308" w:rsidP="00433308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DD485D">
              <w:rPr>
                <w:rFonts w:ascii="Arial Narrow" w:hAnsi="Arial Narrow" w:cstheme="minorHAnsi"/>
              </w:rPr>
              <w:t xml:space="preserve">Prohlášení ochranného pásma Státního hradu Šternberk, </w:t>
            </w:r>
            <w:r w:rsidRPr="00DD485D">
              <w:rPr>
                <w:rFonts w:ascii="Arial Narrow" w:hAnsi="Arial Narrow" w:cstheme="minorHAnsi"/>
              </w:rPr>
              <w:lastRenderedPageBreak/>
              <w:t xml:space="preserve">1964 </w:t>
            </w:r>
          </w:p>
          <w:p w:rsidR="00433308" w:rsidRPr="00DD485D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DD485D">
              <w:rPr>
                <w:rFonts w:ascii="Arial Narrow" w:eastAsia="Times New Roman" w:hAnsi="Arial Narrow" w:cstheme="minorHAnsi"/>
                <w:lang w:eastAsia="cs-CZ"/>
              </w:rPr>
              <w:t xml:space="preserve">Úmluva o ochraně architektonického dědictví Evropy, publikované pod č. 73/2000 Sb. </w:t>
            </w:r>
            <w:proofErr w:type="gramStart"/>
            <w:r w:rsidRPr="00DD485D">
              <w:rPr>
                <w:rFonts w:ascii="Arial Narrow" w:eastAsia="Times New Roman" w:hAnsi="Arial Narrow" w:cstheme="minorHAnsi"/>
                <w:lang w:eastAsia="cs-CZ"/>
              </w:rPr>
              <w:t>m.s.</w:t>
            </w:r>
            <w:proofErr w:type="gramEnd"/>
          </w:p>
          <w:p w:rsidR="00433308" w:rsidRPr="00DD485D" w:rsidRDefault="00433308" w:rsidP="00433308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DD485D">
              <w:rPr>
                <w:rFonts w:ascii="Arial Narrow" w:eastAsia="Times New Roman" w:hAnsi="Arial Narrow" w:cstheme="minorHAnsi"/>
                <w:lang w:eastAsia="cs-CZ"/>
              </w:rPr>
              <w:t>Vyhláška č. 52/2008 Sb., kterou se stanoví zásady a termíny finančního vypořádání vztahů se státním rozpočtem, státními finančními aktivy nebo Národním fondem</w:t>
            </w:r>
          </w:p>
          <w:p w:rsidR="00DD485D" w:rsidRPr="00DD485D" w:rsidRDefault="00DD485D" w:rsidP="00DD485D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DD485D">
              <w:rPr>
                <w:rFonts w:ascii="Arial Narrow" w:eastAsia="Times New Roman" w:hAnsi="Arial Narrow" w:cstheme="minorHAnsi"/>
                <w:lang w:eastAsia="cs-CZ"/>
              </w:rPr>
              <w:t>Zákon č. 218/2000 Sb., o rozpočtových pravidlech a o změně souvisejících zákonů, ve znění pozdějších předpisů</w:t>
            </w:r>
          </w:p>
          <w:p w:rsidR="007C31CE" w:rsidRPr="00DD485D" w:rsidRDefault="00DD485D" w:rsidP="00DD485D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DD485D">
              <w:rPr>
                <w:rFonts w:ascii="Arial Narrow" w:eastAsia="Times New Roman" w:hAnsi="Arial Narrow" w:cstheme="minorHAnsi"/>
                <w:lang w:eastAsia="cs-CZ"/>
              </w:rPr>
              <w:t>Zákon č. 250/2000 Sb., o rozpočtových pravidlech územních rozpočtů, ve znění pozdějších předpisů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lastRenderedPageBreak/>
              <w:t>Jaké jsou opravné prostředky a jak se uplatňují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Na toto rozhodnutí se nevztahují obecné předpisy o správním řízení. </w:t>
            </w:r>
            <w:r w:rsidR="007C31CE">
              <w:rPr>
                <w:rFonts w:ascii="Arial Narrow" w:eastAsia="Times New Roman" w:hAnsi="Arial Narrow" w:cstheme="minorHAnsi"/>
                <w:lang w:eastAsia="cs-CZ"/>
              </w:rPr>
              <w:t>R</w:t>
            </w:r>
            <w:r w:rsidRPr="00433308">
              <w:rPr>
                <w:rFonts w:ascii="Arial Narrow" w:eastAsia="Times New Roman" w:hAnsi="Arial Narrow" w:cstheme="minorHAnsi"/>
                <w:lang w:eastAsia="cs-CZ"/>
              </w:rPr>
              <w:t xml:space="preserve">ozhodnutí nabývá právní moci dnem doručení a nelze se proti němu odvolat.  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D7131D">
            <w:pPr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eastAsia="Times New Roman" w:hAnsi="Arial Narrow" w:cstheme="minorHAnsi"/>
                <w:lang w:eastAsia="cs-CZ"/>
              </w:rPr>
            </w:pPr>
            <w:r w:rsidRPr="00433308">
              <w:rPr>
                <w:rFonts w:ascii="Arial Narrow" w:eastAsia="Times New Roman" w:hAnsi="Arial Narrow" w:cstheme="minorHAnsi"/>
                <w:lang w:eastAsia="cs-CZ"/>
              </w:rPr>
              <w:t>Porušení nebo nesplnění stanovených podmínek je řešeno v souladu s vyhláškou č. 52/2008 Sb., kterou se stanoví zásady a termíny finančního vypořádání vztahů se státním rozpočtem, podle zákona č. 218/2000 Sb., o rozpočtových pravidlech a o změně souvisejících zákonů, ve znění pozdějších předpisů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7C31CE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7C31CE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Další informace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7C31CE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Obraťte se na Ministerstvo kultury ČR, Národní památkový ústav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7C31CE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Za správnost návodu odpovídá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 xml:space="preserve">odbor školství a kultury Městského úřadu Šternberk 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7C31CE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Kontaktní osoba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Mgr. Jana Kameníčková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7C31CE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Popis je zpracován podle právního stavu ke dni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31. 8. 2011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7C31CE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Popis byl naposledy aktualizován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>31. 8. 2011</w:t>
            </w:r>
          </w:p>
        </w:tc>
      </w:tr>
      <w:tr w:rsidR="00433308" w:rsidRPr="0005559D" w:rsidTr="00D7131D">
        <w:tc>
          <w:tcPr>
            <w:tcW w:w="4606" w:type="dxa"/>
          </w:tcPr>
          <w:p w:rsidR="00433308" w:rsidRPr="0005559D" w:rsidRDefault="00433308" w:rsidP="007C31CE">
            <w:pPr>
              <w:spacing w:after="0" w:line="240" w:lineRule="auto"/>
              <w:rPr>
                <w:rFonts w:ascii="Arial Narrow" w:hAnsi="Arial Narrow"/>
              </w:rPr>
            </w:pPr>
            <w:r w:rsidRPr="0005559D">
              <w:rPr>
                <w:rFonts w:ascii="Arial Narrow" w:hAnsi="Arial Narrow"/>
              </w:rPr>
              <w:t>Datum konce platnosti popisu</w:t>
            </w:r>
          </w:p>
        </w:tc>
        <w:tc>
          <w:tcPr>
            <w:tcW w:w="4862" w:type="dxa"/>
          </w:tcPr>
          <w:p w:rsidR="00433308" w:rsidRPr="00433308" w:rsidRDefault="00433308" w:rsidP="007C31CE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433308">
              <w:rPr>
                <w:rFonts w:ascii="Arial Narrow" w:hAnsi="Arial Narrow" w:cstheme="minorHAnsi"/>
              </w:rPr>
              <w:t xml:space="preserve">Konec platnosti není stanoven. </w:t>
            </w:r>
          </w:p>
        </w:tc>
      </w:tr>
    </w:tbl>
    <w:p w:rsidR="00DF7F32" w:rsidRPr="003E21F9" w:rsidRDefault="00DF7F32" w:rsidP="003E21F9">
      <w:pPr>
        <w:spacing w:after="0" w:line="240" w:lineRule="auto"/>
        <w:rPr>
          <w:rFonts w:cs="Calibri"/>
        </w:rPr>
      </w:pPr>
    </w:p>
    <w:sectPr w:rsidR="00DF7F32" w:rsidRPr="003E21F9" w:rsidSect="0043330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FB6"/>
    <w:multiLevelType w:val="hybridMultilevel"/>
    <w:tmpl w:val="15887E5C"/>
    <w:lvl w:ilvl="0" w:tplc="9CBA0500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6FB7F66"/>
    <w:multiLevelType w:val="hybridMultilevel"/>
    <w:tmpl w:val="C17EA72C"/>
    <w:lvl w:ilvl="0" w:tplc="BA48D72E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E725E12"/>
    <w:multiLevelType w:val="hybridMultilevel"/>
    <w:tmpl w:val="FC3AF2FE"/>
    <w:lvl w:ilvl="0" w:tplc="2D0438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806C2"/>
    <w:multiLevelType w:val="hybridMultilevel"/>
    <w:tmpl w:val="9BD01672"/>
    <w:lvl w:ilvl="0" w:tplc="D93671F0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E72059F"/>
    <w:multiLevelType w:val="multilevel"/>
    <w:tmpl w:val="9294A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5F55A8"/>
    <w:multiLevelType w:val="multilevel"/>
    <w:tmpl w:val="91C4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52A50"/>
    <w:multiLevelType w:val="hybridMultilevel"/>
    <w:tmpl w:val="3F5067CE"/>
    <w:lvl w:ilvl="0" w:tplc="2D628C78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B856C00"/>
    <w:multiLevelType w:val="hybridMultilevel"/>
    <w:tmpl w:val="9FCA7AC0"/>
    <w:lvl w:ilvl="0" w:tplc="D8FE2180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E5D1C9D"/>
    <w:multiLevelType w:val="hybridMultilevel"/>
    <w:tmpl w:val="5FBAF4B0"/>
    <w:lvl w:ilvl="0" w:tplc="A5C295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6D4D13"/>
    <w:rsid w:val="00014466"/>
    <w:rsid w:val="00081753"/>
    <w:rsid w:val="000873F3"/>
    <w:rsid w:val="000A6CA4"/>
    <w:rsid w:val="00156DD2"/>
    <w:rsid w:val="00162C54"/>
    <w:rsid w:val="0017176A"/>
    <w:rsid w:val="001A3962"/>
    <w:rsid w:val="00273DE1"/>
    <w:rsid w:val="003146E7"/>
    <w:rsid w:val="003E21F9"/>
    <w:rsid w:val="00433308"/>
    <w:rsid w:val="00554974"/>
    <w:rsid w:val="00562CE2"/>
    <w:rsid w:val="00650EDE"/>
    <w:rsid w:val="006D4D13"/>
    <w:rsid w:val="00702C0F"/>
    <w:rsid w:val="007C19E4"/>
    <w:rsid w:val="007C31CE"/>
    <w:rsid w:val="007E1A76"/>
    <w:rsid w:val="00837218"/>
    <w:rsid w:val="0087013F"/>
    <w:rsid w:val="008E00F1"/>
    <w:rsid w:val="008F4F4D"/>
    <w:rsid w:val="00967846"/>
    <w:rsid w:val="00A00EA3"/>
    <w:rsid w:val="00A45C99"/>
    <w:rsid w:val="00A514B1"/>
    <w:rsid w:val="00AC09D4"/>
    <w:rsid w:val="00AC3EA1"/>
    <w:rsid w:val="00AE6A51"/>
    <w:rsid w:val="00BA57F3"/>
    <w:rsid w:val="00C3295C"/>
    <w:rsid w:val="00C7781C"/>
    <w:rsid w:val="00C946BE"/>
    <w:rsid w:val="00CB4FC9"/>
    <w:rsid w:val="00D1551A"/>
    <w:rsid w:val="00D53945"/>
    <w:rsid w:val="00DD485D"/>
    <w:rsid w:val="00DF7F32"/>
    <w:rsid w:val="00E94B23"/>
    <w:rsid w:val="00EA635F"/>
    <w:rsid w:val="00F13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551A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4F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CB4F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4D13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CB4FC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B4FC9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CB4F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B4FC9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B4F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Mkatabulky">
    <w:name w:val="Table Grid"/>
    <w:basedOn w:val="Normlntabulka"/>
    <w:uiPriority w:val="59"/>
    <w:rsid w:val="00CB4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4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485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2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1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5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46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1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2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8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0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66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3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5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atelna@sternberk.cz" TargetMode="External"/><Relationship Id="rId5" Type="http://schemas.openxmlformats.org/officeDocument/2006/relationships/hyperlink" Target="http://www.sternberk.eu/index_web.php?jazyk=cz&amp;sekce=urad&amp;kategorie_1=mestsky-urad&amp;kategorie_2=struktura&amp;kategorie_3=odbor-skolstvi-a-kultury&amp;kategorie_4=forms_o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Links>
    <vt:vector size="12" baseType="variant">
      <vt:variant>
        <vt:i4>7536688</vt:i4>
      </vt:variant>
      <vt:variant>
        <vt:i4>3</vt:i4>
      </vt:variant>
      <vt:variant>
        <vt:i4>0</vt:i4>
      </vt:variant>
      <vt:variant>
        <vt:i4>5</vt:i4>
      </vt:variant>
      <vt:variant>
        <vt:lpwstr>http://portal.gov.cz/wps/portal/_s.155/701/_s.155/701?l=20/1987%20Sb.</vt:lpwstr>
      </vt:variant>
      <vt:variant>
        <vt:lpwstr/>
      </vt:variant>
      <vt:variant>
        <vt:i4>7405610</vt:i4>
      </vt:variant>
      <vt:variant>
        <vt:i4>0</vt:i4>
      </vt:variant>
      <vt:variant>
        <vt:i4>0</vt:i4>
      </vt:variant>
      <vt:variant>
        <vt:i4>5</vt:i4>
      </vt:variant>
      <vt:variant>
        <vt:lpwstr>http://www.mkcr.cz/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koukalova</dc:creator>
  <cp:lastModifiedBy>Jana Kameníčková</cp:lastModifiedBy>
  <cp:revision>3</cp:revision>
  <cp:lastPrinted>2011-09-12T11:38:00Z</cp:lastPrinted>
  <dcterms:created xsi:type="dcterms:W3CDTF">2011-09-08T13:00:00Z</dcterms:created>
  <dcterms:modified xsi:type="dcterms:W3CDTF">2011-09-12T11:38:00Z</dcterms:modified>
</cp:coreProperties>
</file>